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B1E" w:rsidRPr="00CA5612" w:rsidRDefault="00605B1E" w:rsidP="00605B1E">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تحقيق الجزء الخامس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605B1E" w:rsidRPr="00CA5612" w:rsidRDefault="00605B1E" w:rsidP="00605B1E">
      <w:pPr>
        <w:rPr>
          <w:rFonts w:ascii="Times New Roman" w:eastAsia="Calibri" w:hAnsi="Times New Roman" w:cs="Times New Roman"/>
          <w:sz w:val="48"/>
          <w:szCs w:val="48"/>
          <w:rtl/>
          <w:lang w:bidi="ar-EG"/>
        </w:rPr>
      </w:pPr>
    </w:p>
    <w:p w:rsidR="00605B1E" w:rsidRPr="00CA5612" w:rsidRDefault="00605B1E" w:rsidP="00605B1E">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605B1E" w:rsidRPr="00CA5612" w:rsidRDefault="00605B1E" w:rsidP="00605B1E">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605B1E" w:rsidRPr="00CA5612" w:rsidRDefault="00605B1E" w:rsidP="00605B1E">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605B1E" w:rsidRPr="00CA5612" w:rsidRDefault="00605B1E" w:rsidP="00605B1E">
      <w:pPr>
        <w:jc w:val="center"/>
        <w:rPr>
          <w:rFonts w:ascii="Calibri" w:eastAsia="Calibri" w:hAnsi="Calibri" w:cs="Arial"/>
          <w:i/>
          <w:iCs/>
          <w:sz w:val="20"/>
          <w:szCs w:val="20"/>
          <w:rtl/>
        </w:rPr>
      </w:pPr>
    </w:p>
    <w:p w:rsidR="00605B1E" w:rsidRPr="00CA5612" w:rsidRDefault="00605B1E" w:rsidP="00605B1E">
      <w:pPr>
        <w:rPr>
          <w:rFonts w:ascii="Times New Roman" w:eastAsia="Calibri" w:hAnsi="Times New Roman" w:cs="Times New Roman"/>
          <w:b/>
          <w:bCs/>
          <w:i/>
          <w:iCs/>
          <w:sz w:val="18"/>
          <w:szCs w:val="18"/>
          <w:rtl/>
        </w:rPr>
        <w:sectPr w:rsidR="00605B1E" w:rsidRPr="00CA5612" w:rsidSect="00CA5612">
          <w:pgSz w:w="11906" w:h="16838"/>
          <w:pgMar w:top="1440" w:right="1800" w:bottom="1440" w:left="1800" w:header="708" w:footer="708" w:gutter="0"/>
          <w:cols w:space="708"/>
          <w:bidi/>
          <w:rtlGutter/>
          <w:docGrid w:linePitch="360"/>
        </w:sectPr>
      </w:pPr>
    </w:p>
    <w:p w:rsidR="00605B1E" w:rsidRPr="005F2B69" w:rsidRDefault="00605B1E" w:rsidP="00605B1E">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605B1E" w:rsidRDefault="00605B1E" w:rsidP="00605B1E">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605B1E" w:rsidRPr="00CA5612" w:rsidRDefault="00605B1E" w:rsidP="00605B1E">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605B1E" w:rsidRPr="00CA5612" w:rsidRDefault="00605B1E" w:rsidP="00605B1E">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605B1E" w:rsidRPr="00CA5612" w:rsidRDefault="00605B1E" w:rsidP="00605B1E">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605B1E" w:rsidRPr="00CA5612" w:rsidRDefault="00605B1E" w:rsidP="00605B1E">
      <w:pPr>
        <w:widowControl w:val="0"/>
        <w:spacing w:after="0" w:line="240" w:lineRule="auto"/>
        <w:ind w:left="734"/>
        <w:jc w:val="lowKashida"/>
        <w:rPr>
          <w:rFonts w:ascii="Times New Roman" w:eastAsia="Calibri" w:hAnsi="Times New Roman" w:cs="Times New Roman"/>
          <w:b/>
          <w:bCs/>
          <w:sz w:val="18"/>
          <w:szCs w:val="18"/>
          <w:rtl/>
        </w:rPr>
      </w:pP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[وأما](</w:t>
      </w:r>
      <w:r w:rsidRPr="0056670A">
        <w:rPr>
          <w:rFonts w:ascii="Times New Roman" w:eastAsia="Calibri" w:hAnsi="Times New Roman" w:cs="Times New Roman"/>
          <w:sz w:val="20"/>
          <w:szCs w:val="20"/>
          <w:rtl/>
        </w:rPr>
        <w:footnoteReference w:id="1"/>
      </w:r>
      <w:r w:rsidRPr="0056670A">
        <w:rPr>
          <w:rFonts w:ascii="Times New Roman" w:eastAsia="Calibri" w:hAnsi="Times New Roman" w:cs="Times New Roman" w:hint="cs"/>
          <w:sz w:val="20"/>
          <w:szCs w:val="20"/>
          <w:rtl/>
        </w:rPr>
        <w:t>) الموانع فقسمان: متفق عليه، ومختلف فيه.</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 xml:space="preserve">فالمتفق عليه ثلاثة: المنون: نحو "  </w:t>
      </w:r>
      <w:r w:rsidRPr="0056670A">
        <w:rPr>
          <w:rFonts w:ascii="Times New Roman" w:eastAsia="Calibri" w:hAnsi="Times New Roman" w:cs="Times New Roman"/>
          <w:sz w:val="20"/>
          <w:szCs w:val="20"/>
          <w:rtl/>
        </w:rPr>
        <w:t>ﮥ ﮦ</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2"/>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ﯼ ﯽ</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 xml:space="preserve">ﯖ </w:t>
      </w:r>
      <w:proofErr w:type="spellStart"/>
      <w:r w:rsidRPr="0056670A">
        <w:rPr>
          <w:rFonts w:ascii="Times New Roman" w:eastAsia="Calibri" w:hAnsi="Times New Roman" w:cs="Times New Roman"/>
          <w:sz w:val="20"/>
          <w:szCs w:val="20"/>
          <w:rtl/>
        </w:rPr>
        <w:t>ﯗلَقَد</w:t>
      </w:r>
      <w:proofErr w:type="spellEnd"/>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4"/>
      </w:r>
      <w:r w:rsidRPr="0056670A">
        <w:rPr>
          <w:rFonts w:ascii="Times New Roman" w:eastAsia="Calibri" w:hAnsi="Times New Roman" w:cs="Times New Roman" w:hint="cs"/>
          <w:sz w:val="20"/>
          <w:szCs w:val="20"/>
          <w:rtl/>
        </w:rPr>
        <w:t>)، "</w:t>
      </w:r>
      <w:r w:rsidRPr="0056670A">
        <w:rPr>
          <w:rFonts w:ascii="Times New Roman" w:eastAsia="Calibri" w:hAnsi="Times New Roman" w:cs="Times New Roman"/>
          <w:sz w:val="20"/>
          <w:szCs w:val="20"/>
          <w:rtl/>
        </w:rPr>
        <w:t xml:space="preserve"> ﭨ ﭩ</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t xml:space="preserve"> ﭪ</w:t>
      </w:r>
      <w:r w:rsidRPr="0056670A">
        <w:rPr>
          <w:rFonts w:ascii="Times New Roman" w:eastAsia="Calibri" w:hAnsi="Times New Roman" w:cs="Times New Roman" w:hint="cs"/>
          <w:sz w:val="20"/>
          <w:szCs w:val="20"/>
          <w:rtl/>
        </w:rPr>
        <w:t>] " (</w:t>
      </w:r>
      <w:r w:rsidRPr="0056670A">
        <w:rPr>
          <w:rFonts w:ascii="Times New Roman" w:eastAsia="Calibri" w:hAnsi="Times New Roman" w:cs="Times New Roman"/>
          <w:sz w:val="20"/>
          <w:szCs w:val="20"/>
          <w:rtl/>
        </w:rPr>
        <w:footnoteReference w:id="5"/>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6"/>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ﯕ ﯖ ﯗ</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7"/>
      </w:r>
      <w:r w:rsidRPr="0056670A">
        <w:rPr>
          <w:rFonts w:ascii="Times New Roman" w:eastAsia="Calibri" w:hAnsi="Times New Roman" w:cs="Times New Roman" w:hint="cs"/>
          <w:sz w:val="20"/>
          <w:szCs w:val="20"/>
          <w:rtl/>
        </w:rPr>
        <w:t>)، "</w:t>
      </w:r>
      <w:r w:rsidRPr="0056670A">
        <w:rPr>
          <w:rFonts w:ascii="Times New Roman" w:eastAsia="Calibri" w:hAnsi="Times New Roman" w:cs="Times New Roman"/>
          <w:sz w:val="20"/>
          <w:szCs w:val="20"/>
          <w:rtl/>
        </w:rPr>
        <w:t xml:space="preserve"> ﮦ ﮧ</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t xml:space="preserve"> لإِيلاَفِ</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8"/>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9"/>
      </w:r>
      <w:r w:rsidRPr="0056670A">
        <w:rPr>
          <w:rFonts w:ascii="Times New Roman" w:eastAsia="Calibri" w:hAnsi="Times New Roman" w:cs="Times New Roman" w:hint="cs"/>
          <w:sz w:val="20"/>
          <w:szCs w:val="20"/>
          <w:rtl/>
        </w:rPr>
        <w:t>)، لأن التنوين حاجز قوي [جرى](</w:t>
      </w:r>
      <w:r w:rsidRPr="0056670A">
        <w:rPr>
          <w:rFonts w:ascii="Times New Roman" w:eastAsia="Calibri" w:hAnsi="Times New Roman" w:cs="Times New Roman"/>
          <w:sz w:val="20"/>
          <w:szCs w:val="20"/>
          <w:rtl/>
        </w:rPr>
        <w:footnoteReference w:id="10"/>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hint="cs"/>
          <w:sz w:val="20"/>
          <w:szCs w:val="20"/>
          <w:rtl/>
        </w:rPr>
        <w:lastRenderedPageBreak/>
        <w:t>مجرى الأصول في [النقل](</w:t>
      </w:r>
      <w:r w:rsidRPr="0056670A">
        <w:rPr>
          <w:rFonts w:ascii="Times New Roman" w:eastAsia="Calibri" w:hAnsi="Times New Roman" w:cs="Times New Roman"/>
          <w:sz w:val="20"/>
          <w:szCs w:val="20"/>
          <w:rtl/>
        </w:rPr>
        <w:footnoteReference w:id="11"/>
      </w:r>
      <w:r w:rsidRPr="0056670A">
        <w:rPr>
          <w:rFonts w:ascii="Times New Roman" w:eastAsia="Calibri" w:hAnsi="Times New Roman" w:cs="Times New Roman" w:hint="cs"/>
          <w:sz w:val="20"/>
          <w:szCs w:val="20"/>
          <w:rtl/>
        </w:rPr>
        <w:t xml:space="preserve">) وهو حلية الاسم لدلالته على </w:t>
      </w:r>
      <w:proofErr w:type="spellStart"/>
      <w:r w:rsidRPr="0056670A">
        <w:rPr>
          <w:rFonts w:ascii="Times New Roman" w:eastAsia="Calibri" w:hAnsi="Times New Roman" w:cs="Times New Roman" w:hint="cs"/>
          <w:sz w:val="20"/>
          <w:szCs w:val="20"/>
          <w:rtl/>
        </w:rPr>
        <w:t>أمكنيته</w:t>
      </w:r>
      <w:proofErr w:type="spellEnd"/>
      <w:r w:rsidRPr="0056670A">
        <w:rPr>
          <w:rFonts w:ascii="Times New Roman" w:eastAsia="Calibri" w:hAnsi="Times New Roman" w:cs="Times New Roman" w:hint="cs"/>
          <w:sz w:val="20"/>
          <w:szCs w:val="20"/>
          <w:rtl/>
        </w:rPr>
        <w:t>، فلم يلتقيا الحرفان(</w:t>
      </w:r>
      <w:r w:rsidRPr="0056670A">
        <w:rPr>
          <w:rFonts w:ascii="Times New Roman" w:eastAsia="Calibri" w:hAnsi="Times New Roman" w:cs="Times New Roman"/>
          <w:sz w:val="20"/>
          <w:szCs w:val="20"/>
          <w:rtl/>
        </w:rPr>
        <w:footnoteReference w:id="12"/>
      </w:r>
      <w:r w:rsidRPr="0056670A">
        <w:rPr>
          <w:rFonts w:ascii="Times New Roman" w:eastAsia="Calibri" w:hAnsi="Times New Roman" w:cs="Times New Roman" w:hint="cs"/>
          <w:sz w:val="20"/>
          <w:szCs w:val="20"/>
          <w:rtl/>
        </w:rPr>
        <w:t xml:space="preserve">)، </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 xml:space="preserve">والفرق بينه وبين صلة "  </w:t>
      </w:r>
      <w:r w:rsidRPr="0056670A">
        <w:rPr>
          <w:rFonts w:ascii="Times New Roman" w:eastAsia="Calibri" w:hAnsi="Times New Roman" w:cs="Times New Roman"/>
          <w:sz w:val="20"/>
          <w:szCs w:val="20"/>
          <w:rtl/>
        </w:rPr>
        <w:t>ﰆ ﰇ</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13"/>
      </w:r>
      <w:r w:rsidRPr="0056670A">
        <w:rPr>
          <w:rFonts w:ascii="Times New Roman" w:eastAsia="Calibri" w:hAnsi="Times New Roman" w:cs="Times New Roman" w:hint="cs"/>
          <w:sz w:val="20"/>
          <w:szCs w:val="20"/>
          <w:rtl/>
        </w:rPr>
        <w:t>) عدم القوة والدلالة(</w:t>
      </w:r>
      <w:r w:rsidRPr="0056670A">
        <w:rPr>
          <w:rFonts w:ascii="Times New Roman" w:eastAsia="Calibri" w:hAnsi="Times New Roman" w:cs="Times New Roman"/>
          <w:sz w:val="20"/>
          <w:szCs w:val="20"/>
          <w:rtl/>
        </w:rPr>
        <w:footnoteReference w:id="14"/>
      </w:r>
      <w:r w:rsidRPr="0056670A">
        <w:rPr>
          <w:rFonts w:ascii="Times New Roman" w:eastAsia="Calibri" w:hAnsi="Times New Roman" w:cs="Times New Roman" w:hint="cs"/>
          <w:sz w:val="20"/>
          <w:szCs w:val="20"/>
          <w:rtl/>
        </w:rPr>
        <w:t>).</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وقول ابن شيطا(</w:t>
      </w:r>
      <w:r w:rsidRPr="0056670A">
        <w:rPr>
          <w:rFonts w:ascii="Times New Roman" w:eastAsia="Calibri" w:hAnsi="Times New Roman" w:cs="Times New Roman"/>
          <w:sz w:val="20"/>
          <w:szCs w:val="20"/>
          <w:rtl/>
        </w:rPr>
        <w:footnoteReference w:id="15"/>
      </w:r>
      <w:r w:rsidRPr="0056670A">
        <w:rPr>
          <w:rFonts w:ascii="Times New Roman" w:eastAsia="Calibri" w:hAnsi="Times New Roman" w:cs="Times New Roman" w:hint="cs"/>
          <w:sz w:val="20"/>
          <w:szCs w:val="20"/>
          <w:rtl/>
        </w:rPr>
        <w:t>) في تذكاره(</w:t>
      </w:r>
      <w:r w:rsidRPr="0056670A">
        <w:rPr>
          <w:rFonts w:ascii="Times New Roman" w:eastAsia="Calibri" w:hAnsi="Times New Roman" w:cs="Times New Roman"/>
          <w:sz w:val="20"/>
          <w:szCs w:val="20"/>
          <w:rtl/>
        </w:rPr>
        <w:footnoteReference w:id="16"/>
      </w:r>
      <w:r w:rsidRPr="0056670A">
        <w:rPr>
          <w:rFonts w:ascii="Times New Roman" w:eastAsia="Calibri" w:hAnsi="Times New Roman" w:cs="Times New Roman" w:hint="cs"/>
          <w:sz w:val="20"/>
          <w:szCs w:val="20"/>
          <w:rtl/>
        </w:rPr>
        <w:t>): إن زيادة الصفة، كالصفير، والتكرار، والمد في حروفه في المدغم [يقبّح](</w:t>
      </w:r>
      <w:r w:rsidRPr="0056670A">
        <w:rPr>
          <w:rFonts w:ascii="Times New Roman" w:eastAsia="Calibri" w:hAnsi="Times New Roman" w:cs="Times New Roman"/>
          <w:sz w:val="20"/>
          <w:szCs w:val="20"/>
          <w:rtl/>
        </w:rPr>
        <w:footnoteReference w:id="17"/>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hint="cs"/>
          <w:sz w:val="20"/>
          <w:szCs w:val="20"/>
          <w:rtl/>
        </w:rPr>
        <w:lastRenderedPageBreak/>
        <w:t>إدغامه ويطرح، لأن هذه الزيادة بمنزلة حرف آخر، [وكما لا يدغم حرفان في حرف واحد](</w:t>
      </w:r>
      <w:r w:rsidRPr="0056670A">
        <w:rPr>
          <w:rFonts w:ascii="Times New Roman" w:eastAsia="Calibri" w:hAnsi="Times New Roman" w:cs="Times New Roman"/>
          <w:sz w:val="20"/>
          <w:szCs w:val="20"/>
          <w:rtl/>
        </w:rPr>
        <w:footnoteReference w:id="18"/>
      </w:r>
      <w:r w:rsidRPr="0056670A">
        <w:rPr>
          <w:rFonts w:ascii="Times New Roman" w:eastAsia="Calibri" w:hAnsi="Times New Roman" w:cs="Times New Roman" w:hint="cs"/>
          <w:sz w:val="20"/>
          <w:szCs w:val="20"/>
          <w:rtl/>
        </w:rPr>
        <w:t>) [فكذلك](</w:t>
      </w:r>
      <w:r w:rsidRPr="0056670A">
        <w:rPr>
          <w:rFonts w:ascii="Times New Roman" w:eastAsia="Calibri" w:hAnsi="Times New Roman" w:cs="Times New Roman"/>
          <w:sz w:val="20"/>
          <w:szCs w:val="20"/>
          <w:rtl/>
        </w:rPr>
        <w:footnoteReference w:id="19"/>
      </w:r>
      <w:r w:rsidRPr="0056670A">
        <w:rPr>
          <w:rFonts w:ascii="Times New Roman" w:eastAsia="Calibri" w:hAnsi="Times New Roman" w:cs="Times New Roman" w:hint="cs"/>
          <w:sz w:val="20"/>
          <w:szCs w:val="20"/>
          <w:rtl/>
        </w:rPr>
        <w:t>) لا تدغم ذوات الزيادات.</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تعقب: [بأن] (</w:t>
      </w:r>
      <w:r w:rsidRPr="0056670A">
        <w:rPr>
          <w:rFonts w:ascii="Times New Roman" w:eastAsia="Calibri" w:hAnsi="Times New Roman" w:cs="Times New Roman"/>
          <w:sz w:val="20"/>
          <w:szCs w:val="20"/>
          <w:rtl/>
        </w:rPr>
        <w:footnoteReference w:id="20"/>
      </w:r>
      <w:r w:rsidRPr="0056670A">
        <w:rPr>
          <w:rFonts w:ascii="Times New Roman" w:eastAsia="Calibri" w:hAnsi="Times New Roman" w:cs="Times New Roman" w:hint="cs"/>
          <w:sz w:val="20"/>
          <w:szCs w:val="20"/>
          <w:rtl/>
        </w:rPr>
        <w:t>) الصفات المتعددة(</w:t>
      </w:r>
      <w:r w:rsidRPr="0056670A">
        <w:rPr>
          <w:rFonts w:ascii="Times New Roman" w:eastAsia="Calibri" w:hAnsi="Times New Roman" w:cs="Times New Roman"/>
          <w:sz w:val="20"/>
          <w:szCs w:val="20"/>
          <w:rtl/>
        </w:rPr>
        <w:footnoteReference w:id="21"/>
      </w:r>
      <w:r w:rsidRPr="0056670A">
        <w:rPr>
          <w:rFonts w:ascii="Times New Roman" w:eastAsia="Calibri" w:hAnsi="Times New Roman" w:cs="Times New Roman" w:hint="cs"/>
          <w:sz w:val="20"/>
          <w:szCs w:val="20"/>
          <w:rtl/>
        </w:rPr>
        <w:t>) في الحرف الواحد لا تكسبه ذاتاً أخرى، فلو كان قبيحاً لما أجمع على إدغام "</w:t>
      </w:r>
      <w:r w:rsidRPr="0056670A">
        <w:rPr>
          <w:rFonts w:ascii="Times New Roman" w:eastAsia="Calibri" w:hAnsi="Times New Roman" w:cs="Times New Roman"/>
          <w:sz w:val="20"/>
          <w:szCs w:val="20"/>
          <w:rtl/>
        </w:rPr>
        <w:t xml:space="preserve"> ﮠ</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22"/>
      </w:r>
      <w:r w:rsidRPr="0056670A">
        <w:rPr>
          <w:rFonts w:ascii="Times New Roman" w:eastAsia="Calibri" w:hAnsi="Times New Roman" w:cs="Times New Roman" w:hint="cs"/>
          <w:sz w:val="20"/>
          <w:szCs w:val="20"/>
          <w:rtl/>
        </w:rPr>
        <w:t>) ونحوها(</w:t>
      </w:r>
      <w:r w:rsidRPr="0056670A">
        <w:rPr>
          <w:rFonts w:ascii="Times New Roman" w:eastAsia="Calibri" w:hAnsi="Times New Roman" w:cs="Times New Roman"/>
          <w:sz w:val="20"/>
          <w:szCs w:val="20"/>
          <w:rtl/>
        </w:rPr>
        <w:footnoteReference w:id="23"/>
      </w:r>
      <w:r w:rsidRPr="0056670A">
        <w:rPr>
          <w:rFonts w:ascii="Times New Roman" w:eastAsia="Calibri" w:hAnsi="Times New Roman" w:cs="Times New Roman" w:hint="cs"/>
          <w:sz w:val="20"/>
          <w:szCs w:val="20"/>
          <w:rtl/>
        </w:rPr>
        <w:t>).</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 xml:space="preserve">الثاني: كون الأول ضميراَ سواء كان متكلماً أو مخاطباً نحو "  </w:t>
      </w:r>
      <w:r w:rsidRPr="0056670A">
        <w:rPr>
          <w:rFonts w:ascii="Times New Roman" w:eastAsia="Calibri" w:hAnsi="Times New Roman" w:cs="Times New Roman"/>
          <w:sz w:val="20"/>
          <w:szCs w:val="20"/>
          <w:rtl/>
        </w:rPr>
        <w:t>ﮟ ﮠ</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24"/>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 xml:space="preserve">أَفَأَنتَ تُكْرِهُ </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25"/>
      </w:r>
      <w:r w:rsidRPr="0056670A">
        <w:rPr>
          <w:rFonts w:ascii="Times New Roman" w:eastAsia="Calibri" w:hAnsi="Times New Roman" w:cs="Times New Roman" w:hint="cs"/>
          <w:sz w:val="20"/>
          <w:szCs w:val="20"/>
          <w:rtl/>
        </w:rPr>
        <w:t>) ، ولم يمتنع باعتبار ذاتهما بل لملازمة المانع حيث وقعا في القرآن، إما [لسبق](</w:t>
      </w:r>
      <w:r w:rsidRPr="0056670A">
        <w:rPr>
          <w:rFonts w:ascii="Times New Roman" w:eastAsia="Calibri" w:hAnsi="Times New Roman" w:cs="Times New Roman"/>
          <w:sz w:val="20"/>
          <w:szCs w:val="20"/>
          <w:rtl/>
        </w:rPr>
        <w:footnoteReference w:id="26"/>
      </w:r>
      <w:r w:rsidRPr="0056670A">
        <w:rPr>
          <w:rFonts w:ascii="Times New Roman" w:eastAsia="Calibri" w:hAnsi="Times New Roman" w:cs="Times New Roman" w:hint="cs"/>
          <w:sz w:val="20"/>
          <w:szCs w:val="20"/>
          <w:rtl/>
        </w:rPr>
        <w:t xml:space="preserve">) إخفاء </w:t>
      </w:r>
      <w:proofErr w:type="spellStart"/>
      <w:r w:rsidRPr="0056670A">
        <w:rPr>
          <w:rFonts w:ascii="Times New Roman" w:eastAsia="Calibri" w:hAnsi="Times New Roman" w:cs="Times New Roman" w:hint="cs"/>
          <w:sz w:val="20"/>
          <w:szCs w:val="20"/>
          <w:rtl/>
        </w:rPr>
        <w:t>كهذين</w:t>
      </w:r>
      <w:proofErr w:type="spellEnd"/>
      <w:r w:rsidRPr="0056670A">
        <w:rPr>
          <w:rFonts w:ascii="Times New Roman" w:eastAsia="Calibri" w:hAnsi="Times New Roman" w:cs="Times New Roman" w:hint="cs"/>
          <w:sz w:val="20"/>
          <w:szCs w:val="20"/>
          <w:rtl/>
        </w:rPr>
        <w:t xml:space="preserve"> المثالين(</w:t>
      </w:r>
      <w:r w:rsidRPr="0056670A">
        <w:rPr>
          <w:rFonts w:ascii="Times New Roman" w:eastAsia="Calibri" w:hAnsi="Times New Roman" w:cs="Times New Roman"/>
          <w:sz w:val="20"/>
          <w:szCs w:val="20"/>
          <w:rtl/>
        </w:rPr>
        <w:footnoteReference w:id="27"/>
      </w:r>
      <w:r w:rsidRPr="0056670A">
        <w:rPr>
          <w:rFonts w:ascii="Times New Roman" w:eastAsia="Calibri" w:hAnsi="Times New Roman" w:cs="Times New Roman" w:hint="cs"/>
          <w:sz w:val="20"/>
          <w:szCs w:val="20"/>
          <w:rtl/>
        </w:rPr>
        <w:t xml:space="preserve">)، أو مع انضمام حذف في الفعل في نحو " </w:t>
      </w:r>
      <w:r w:rsidRPr="0056670A">
        <w:rPr>
          <w:rFonts w:ascii="Times New Roman" w:eastAsia="Calibri" w:hAnsi="Times New Roman" w:cs="Times New Roman"/>
          <w:sz w:val="20"/>
          <w:szCs w:val="20"/>
          <w:rtl/>
        </w:rPr>
        <w:t>ﮟ ﮠ</w:t>
      </w:r>
      <w:r w:rsidRPr="0056670A">
        <w:rPr>
          <w:rFonts w:ascii="Times New Roman" w:eastAsia="Calibri" w:hAnsi="Times New Roman" w:cs="Times New Roman" w:hint="cs"/>
          <w:sz w:val="20"/>
          <w:szCs w:val="20"/>
          <w:rtl/>
        </w:rPr>
        <w:t xml:space="preserve"> "، أي أنا(</w:t>
      </w:r>
      <w:r w:rsidRPr="0056670A">
        <w:rPr>
          <w:rFonts w:ascii="Times New Roman" w:eastAsia="Calibri" w:hAnsi="Times New Roman" w:cs="Times New Roman"/>
          <w:sz w:val="20"/>
          <w:szCs w:val="20"/>
          <w:rtl/>
        </w:rPr>
        <w:footnoteReference w:id="28"/>
      </w:r>
      <w:r w:rsidRPr="0056670A">
        <w:rPr>
          <w:rFonts w:ascii="Times New Roman" w:eastAsia="Calibri" w:hAnsi="Times New Roman" w:cs="Times New Roman" w:hint="cs"/>
          <w:sz w:val="20"/>
          <w:szCs w:val="20"/>
          <w:rtl/>
        </w:rPr>
        <w:t>)، أو يقع مشدداً كـ "</w:t>
      </w:r>
      <w:r w:rsidRPr="0056670A">
        <w:rPr>
          <w:rFonts w:ascii="Times New Roman" w:eastAsia="Calibri" w:hAnsi="Times New Roman" w:cs="Times New Roman"/>
          <w:sz w:val="20"/>
          <w:szCs w:val="20"/>
          <w:rtl/>
        </w:rPr>
        <w:t xml:space="preserve"> ﯲ ﯳ</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29"/>
      </w:r>
      <w:r w:rsidRPr="0056670A">
        <w:rPr>
          <w:rFonts w:ascii="Times New Roman" w:eastAsia="Calibri" w:hAnsi="Times New Roman" w:cs="Times New Roman" w:hint="cs"/>
          <w:sz w:val="20"/>
          <w:szCs w:val="20"/>
          <w:rtl/>
        </w:rPr>
        <w:t xml:space="preserve">)، وكذلك أدغما حيث خلتا منه نحو (دخلت تبريز)، و(بعت تمراً)، وقيل: لكون كل منهما اسماً على حرف واحد، ودفع بإدغام قوله: " </w:t>
      </w:r>
      <w:r w:rsidRPr="0056670A">
        <w:rPr>
          <w:rFonts w:ascii="Times New Roman" w:eastAsia="Calibri" w:hAnsi="Times New Roman" w:cs="Times New Roman"/>
          <w:sz w:val="20"/>
          <w:szCs w:val="20"/>
          <w:rtl/>
        </w:rPr>
        <w:t>ﭙ ﭚ</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0"/>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31"/>
      </w:r>
      <w:r w:rsidRPr="0056670A">
        <w:rPr>
          <w:rFonts w:ascii="Times New Roman" w:eastAsia="Calibri" w:hAnsi="Times New Roman" w:cs="Times New Roman" w:hint="cs"/>
          <w:sz w:val="20"/>
          <w:szCs w:val="20"/>
          <w:rtl/>
        </w:rPr>
        <w:t xml:space="preserve">)، ومثال غير المثلين "  </w:t>
      </w:r>
      <w:r w:rsidRPr="0056670A">
        <w:rPr>
          <w:rFonts w:ascii="Times New Roman" w:eastAsia="Calibri" w:hAnsi="Times New Roman" w:cs="Times New Roman"/>
          <w:sz w:val="20"/>
          <w:szCs w:val="20"/>
          <w:rtl/>
        </w:rPr>
        <w:t>ﮏ ﮐ ﮑ</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2"/>
      </w:r>
      <w:r w:rsidRPr="0056670A">
        <w:rPr>
          <w:rFonts w:ascii="Times New Roman" w:eastAsia="Calibri" w:hAnsi="Times New Roman" w:cs="Times New Roman" w:hint="cs"/>
          <w:sz w:val="20"/>
          <w:szCs w:val="20"/>
          <w:rtl/>
        </w:rPr>
        <w:t>)، ولم يلتق تاء المخبر مع مناسبتها في القرآن فسقطت.</w:t>
      </w:r>
    </w:p>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lastRenderedPageBreak/>
        <w:t xml:space="preserve">الثالث: المشدد نحو " </w:t>
      </w:r>
      <w:r w:rsidRPr="0056670A">
        <w:rPr>
          <w:rFonts w:ascii="Times New Roman" w:eastAsia="Calibri" w:hAnsi="Times New Roman" w:cs="Times New Roman"/>
          <w:sz w:val="20"/>
          <w:szCs w:val="20"/>
          <w:rtl/>
        </w:rPr>
        <w:t>ﮅ ﮆ</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3"/>
      </w:r>
      <w:r w:rsidRPr="0056670A">
        <w:rPr>
          <w:rFonts w:ascii="Times New Roman" w:eastAsia="Calibri" w:hAnsi="Times New Roman" w:cs="Times New Roman" w:hint="cs"/>
          <w:sz w:val="20"/>
          <w:szCs w:val="20"/>
          <w:rtl/>
        </w:rPr>
        <w:t>)،   "</w:t>
      </w:r>
      <w:r w:rsidRPr="0056670A">
        <w:rPr>
          <w:rFonts w:ascii="Times New Roman" w:eastAsia="Calibri" w:hAnsi="Times New Roman" w:cs="Times New Roman"/>
          <w:sz w:val="20"/>
          <w:szCs w:val="20"/>
          <w:rtl/>
        </w:rPr>
        <w:t xml:space="preserve"> ﰉ ﰊ</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4"/>
      </w:r>
      <w:r w:rsidRPr="0056670A">
        <w:rPr>
          <w:rFonts w:ascii="Times New Roman" w:eastAsia="Calibri" w:hAnsi="Times New Roman" w:cs="Times New Roman" w:hint="cs"/>
          <w:sz w:val="20"/>
          <w:szCs w:val="20"/>
          <w:rtl/>
        </w:rPr>
        <w:t>)، "</w:t>
      </w:r>
      <w:r w:rsidRPr="0056670A">
        <w:rPr>
          <w:rFonts w:ascii="Times New Roman" w:eastAsia="Calibri" w:hAnsi="Times New Roman" w:cs="Times New Roman"/>
          <w:sz w:val="20"/>
          <w:szCs w:val="20"/>
          <w:rtl/>
        </w:rPr>
        <w:t xml:space="preserve"> ﮜ ﮝ</w:t>
      </w: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tl/>
        </w:rPr>
        <w:footnoteReference w:id="35"/>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ﭙ ﭚ</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6"/>
      </w:r>
      <w:r w:rsidRPr="0056670A">
        <w:rPr>
          <w:rFonts w:ascii="Times New Roman" w:eastAsia="Calibri" w:hAnsi="Times New Roman" w:cs="Times New Roman" w:hint="cs"/>
          <w:sz w:val="20"/>
          <w:szCs w:val="20"/>
          <w:rtl/>
        </w:rPr>
        <w:t xml:space="preserve">)، " </w:t>
      </w:r>
      <w:r w:rsidRPr="0056670A">
        <w:rPr>
          <w:rFonts w:ascii="Times New Roman" w:eastAsia="Calibri" w:hAnsi="Times New Roman" w:cs="Times New Roman"/>
          <w:sz w:val="20"/>
          <w:szCs w:val="20"/>
          <w:rtl/>
        </w:rPr>
        <w:t>ﮥ ﮦ ﮧ</w:t>
      </w:r>
      <w:r w:rsidRPr="0056670A">
        <w:rPr>
          <w:rFonts w:ascii="Times New Roman" w:eastAsia="Calibri" w:hAnsi="Times New Roman" w:cs="Times New Roman" w:hint="cs"/>
          <w:sz w:val="20"/>
          <w:szCs w:val="20"/>
          <w:rtl/>
        </w:rPr>
        <w:t xml:space="preserve">  "(</w:t>
      </w:r>
      <w:r w:rsidRPr="0056670A">
        <w:rPr>
          <w:rFonts w:ascii="Times New Roman" w:eastAsia="Calibri" w:hAnsi="Times New Roman" w:cs="Times New Roman"/>
          <w:sz w:val="20"/>
          <w:szCs w:val="20"/>
          <w:rtl/>
        </w:rPr>
        <w:footnoteReference w:id="37"/>
      </w:r>
      <w:r w:rsidRPr="0056670A">
        <w:rPr>
          <w:rFonts w:ascii="Times New Roman" w:eastAsia="Calibri" w:hAnsi="Times New Roman" w:cs="Times New Roman" w:hint="cs"/>
          <w:sz w:val="20"/>
          <w:szCs w:val="20"/>
          <w:rtl/>
        </w:rPr>
        <w:t>).</w:t>
      </w:r>
    </w:p>
    <w:p w:rsidR="00605B1E" w:rsidRPr="00782A33" w:rsidRDefault="00605B1E" w:rsidP="0056670A">
      <w:pPr>
        <w:spacing w:line="192" w:lineRule="auto"/>
        <w:jc w:val="lowKashida"/>
        <w:rPr>
          <w:rFonts w:ascii="Times New Roman" w:eastAsia="Calibri" w:hAnsi="Times New Roman" w:cs="Times New Roman"/>
          <w:sz w:val="20"/>
          <w:szCs w:val="20"/>
        </w:rPr>
      </w:pPr>
    </w:p>
    <w:p w:rsidR="00605B1E" w:rsidRPr="00782A33" w:rsidRDefault="00605B1E" w:rsidP="0056670A">
      <w:pPr>
        <w:spacing w:line="192" w:lineRule="auto"/>
        <w:jc w:val="lowKashida"/>
        <w:rPr>
          <w:rFonts w:ascii="Times New Roman" w:eastAsia="Calibri" w:hAnsi="Times New Roman" w:cs="Times New Roman"/>
          <w:sz w:val="20"/>
          <w:szCs w:val="20"/>
        </w:rPr>
      </w:pPr>
    </w:p>
    <w:p w:rsidR="00525568" w:rsidRPr="0056670A" w:rsidRDefault="00525568" w:rsidP="0056670A">
      <w:pPr>
        <w:spacing w:line="192" w:lineRule="auto"/>
        <w:jc w:val="lowKashida"/>
        <w:rPr>
          <w:rFonts w:ascii="Times New Roman" w:eastAsia="Calibri" w:hAnsi="Times New Roman" w:cs="Times New Roman"/>
          <w:sz w:val="20"/>
          <w:szCs w:val="20"/>
        </w:rPr>
      </w:pPr>
    </w:p>
    <w:sectPr w:rsidR="00525568" w:rsidRPr="0056670A"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DEE" w:rsidRDefault="00A23DEE" w:rsidP="0056670A">
      <w:pPr>
        <w:spacing w:after="0" w:line="240" w:lineRule="auto"/>
      </w:pPr>
      <w:r>
        <w:separator/>
      </w:r>
    </w:p>
  </w:endnote>
  <w:endnote w:type="continuationSeparator" w:id="0">
    <w:p w:rsidR="00A23DEE" w:rsidRDefault="00A23DEE" w:rsidP="0056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DEE" w:rsidRDefault="00A23DEE" w:rsidP="0056670A">
      <w:pPr>
        <w:spacing w:after="0" w:line="240" w:lineRule="auto"/>
      </w:pPr>
      <w:r>
        <w:separator/>
      </w:r>
    </w:p>
  </w:footnote>
  <w:footnote w:type="continuationSeparator" w:id="0">
    <w:p w:rsidR="00A23DEE" w:rsidRDefault="00A23DEE" w:rsidP="0056670A">
      <w:pPr>
        <w:spacing w:after="0" w:line="240" w:lineRule="auto"/>
      </w:pPr>
      <w:r>
        <w:continuationSeparator/>
      </w:r>
    </w:p>
  </w:footnote>
  <w:footnote w:id="1">
    <w:p w:rsidR="0056670A" w:rsidRPr="0056670A" w:rsidRDefault="0056670A" w:rsidP="0056670A">
      <w:pPr>
        <w:spacing w:line="192" w:lineRule="auto"/>
        <w:jc w:val="lowKashida"/>
        <w:rPr>
          <w:rFonts w:ascii="Times New Roman" w:eastAsia="Calibri" w:hAnsi="Times New Roman" w:cs="Times New Roman" w:hint="cs"/>
          <w:sz w:val="20"/>
          <w:szCs w:val="20"/>
        </w:rPr>
      </w:pPr>
      <w:r w:rsidRPr="00803138">
        <w:rPr>
          <w:rFonts w:cs="Traditional Arabic" w:hint="cs"/>
          <w:b/>
          <w:bCs/>
          <w:sz w:val="28"/>
          <w:szCs w:val="28"/>
          <w:rtl/>
        </w:rPr>
        <w:t>(</w:t>
      </w:r>
      <w:r w:rsidRPr="00803138">
        <w:rPr>
          <w:rFonts w:cs="Traditional Arabic"/>
          <w:b/>
          <w:bCs/>
          <w:sz w:val="28"/>
          <w:szCs w:val="28"/>
        </w:rPr>
        <w:footnoteRef/>
      </w:r>
      <w:r w:rsidRPr="00803138">
        <w:rPr>
          <w:rFonts w:cs="Traditional Arabic" w:hint="cs"/>
          <w:b/>
          <w:bCs/>
          <w:sz w:val="28"/>
          <w:szCs w:val="28"/>
          <w:rtl/>
        </w:rPr>
        <w:t xml:space="preserve">) </w:t>
      </w:r>
      <w:bookmarkStart w:id="0" w:name="_GoBack"/>
      <w:r w:rsidRPr="0056670A">
        <w:rPr>
          <w:rFonts w:ascii="Times New Roman" w:eastAsia="Calibri" w:hAnsi="Times New Roman" w:cs="Times New Roman" w:hint="cs"/>
          <w:sz w:val="20"/>
          <w:szCs w:val="20"/>
          <w:rtl/>
        </w:rPr>
        <w:t>ما بين المعقوفتين سقط من ج.</w:t>
      </w:r>
    </w:p>
  </w:footnote>
  <w:footnote w:id="2">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البقرة من الآية: 173 وغيرها.</w:t>
      </w:r>
    </w:p>
  </w:footnote>
  <w:footnote w:id="3">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البقرة من الآية: 181 وغيرها.</w:t>
      </w:r>
    </w:p>
  </w:footnote>
  <w:footnote w:id="4">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التوبة من الآيتين: 117،116.</w:t>
      </w:r>
    </w:p>
  </w:footnote>
  <w:footnote w:id="5">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الزمر من الآية: 6.</w:t>
      </w:r>
    </w:p>
  </w:footnote>
  <w:footnote w:id="6">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سقط من ج.</w:t>
      </w:r>
    </w:p>
  </w:footnote>
  <w:footnote w:id="7">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الحشر من الآية: 14.</w:t>
      </w:r>
    </w:p>
  </w:footnote>
  <w:footnote w:id="8">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الفيل من الآية: 5، علي قراءة أبي عمرو بترك البسملة في أحد أوجهه.</w:t>
      </w:r>
    </w:p>
  </w:footnote>
  <w:footnote w:id="9">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)ما بين المعقوفتين سقط من الأصل  .</w:t>
      </w:r>
    </w:p>
  </w:footnote>
  <w:footnote w:id="10">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سقط من ج.</w:t>
      </w:r>
    </w:p>
  </w:footnote>
  <w:footnote w:id="11">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في ب الثقل والمثبت هو الصواب.</w:t>
      </w:r>
    </w:p>
  </w:footnote>
  <w:footnote w:id="12">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يقول الإمام السخاوي: (( وأما المنون: فلأن التنوين قد فصل بين المثلين وهو في حكم حرف، فاعتد فاصلا، والدليل على أنه في حكم حرف أنه يلقى عليه حركة الهمز، وأيضاً فإنه جمال وحلية وضعت للتتميم والتمكين والإدغام لعدمه فيقع النقص، وإلى هذا أشار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أي الشاطبي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بلفظه (</w:t>
      </w:r>
      <w:proofErr w:type="spellStart"/>
      <w:r w:rsidRPr="0056670A">
        <w:rPr>
          <w:rFonts w:ascii="Times New Roman" w:eastAsia="Calibri" w:hAnsi="Times New Roman" w:cs="Times New Roman" w:hint="cs"/>
          <w:sz w:val="20"/>
          <w:szCs w:val="20"/>
          <w:rtl/>
        </w:rPr>
        <w:t>المكتسى</w:t>
      </w:r>
      <w:proofErr w:type="spellEnd"/>
      <w:r w:rsidRPr="0056670A">
        <w:rPr>
          <w:rFonts w:ascii="Times New Roman" w:eastAsia="Calibri" w:hAnsi="Times New Roman" w:cs="Times New Roman" w:hint="cs"/>
          <w:sz w:val="20"/>
          <w:szCs w:val="20"/>
          <w:rtl/>
        </w:rPr>
        <w:t xml:space="preserve">) لما في الكسوة من الجمال ))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فتح الوصيد: 1/291، وينظر شرح شعلة على </w:t>
      </w:r>
      <w:proofErr w:type="spellStart"/>
      <w:r w:rsidRPr="0056670A">
        <w:rPr>
          <w:rFonts w:ascii="Times New Roman" w:eastAsia="Calibri" w:hAnsi="Times New Roman" w:cs="Times New Roman" w:hint="cs"/>
          <w:sz w:val="20"/>
          <w:szCs w:val="20"/>
          <w:rtl/>
        </w:rPr>
        <w:t>الشاطبية</w:t>
      </w:r>
      <w:proofErr w:type="spellEnd"/>
      <w:r w:rsidRPr="0056670A">
        <w:rPr>
          <w:rFonts w:ascii="Times New Roman" w:eastAsia="Calibri" w:hAnsi="Times New Roman" w:cs="Times New Roman" w:hint="cs"/>
          <w:sz w:val="20"/>
          <w:szCs w:val="20"/>
          <w:rtl/>
        </w:rPr>
        <w:t>: 52، واللآلئ الفريدة: 1/176، والعقد النضيد:1/426، وكنز= =المعاني:للجعبري:1/388، والنشر:1/219، وشرح طيبة النشر للنويري:2/76، والاتحاف:31.</w:t>
      </w:r>
    </w:p>
  </w:footnote>
  <w:footnote w:id="13">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البقرة من الآية: 37.</w:t>
      </w:r>
    </w:p>
  </w:footnote>
  <w:footnote w:id="14">
    <w:p w:rsidR="0056670A" w:rsidRPr="0056670A" w:rsidRDefault="0056670A" w:rsidP="0056670A">
      <w:pPr>
        <w:spacing w:line="192" w:lineRule="auto"/>
        <w:jc w:val="lowKashida"/>
        <w:rPr>
          <w:rFonts w:ascii="Times New Roman" w:eastAsia="Calibri" w:hAnsi="Times New Roman" w:cs="Times New Roman" w:hint="cs"/>
          <w:sz w:val="20"/>
          <w:szCs w:val="20"/>
          <w:rtl/>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حكاه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بلفظه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النويري في شرح الطيبة: 2/76، ويقول السمين الحلبي: (( فإن قيل: كيف اعتددتم بالتنوين فاصلاً ومنعتم به من الإدغام ولم تعتدوا بصلة الضمير في "إنه هو"، </w:t>
      </w:r>
      <w:proofErr w:type="spellStart"/>
      <w:r w:rsidRPr="0056670A">
        <w:rPr>
          <w:rFonts w:ascii="Times New Roman" w:eastAsia="Calibri" w:hAnsi="Times New Roman" w:cs="Times New Roman" w:hint="cs"/>
          <w:sz w:val="20"/>
          <w:szCs w:val="20"/>
          <w:rtl/>
        </w:rPr>
        <w:t>و"من</w:t>
      </w:r>
      <w:proofErr w:type="spellEnd"/>
      <w:r w:rsidRPr="0056670A">
        <w:rPr>
          <w:rFonts w:ascii="Times New Roman" w:eastAsia="Calibri" w:hAnsi="Times New Roman" w:cs="Times New Roman" w:hint="cs"/>
          <w:sz w:val="20"/>
          <w:szCs w:val="20"/>
          <w:rtl/>
        </w:rPr>
        <w:t xml:space="preserve"> فضله هو خيراً" وهي فاصلة بين المثلين، بل الاعتداد بها أولى، لأنها جزء من الضمير على قول، والتنوين زائد على ماهية الكلمة اتفاقاً؟</w:t>
      </w:r>
    </w:p>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ab/>
        <w:t xml:space="preserve">فالجواب: أن الصلة غير معتد بها، ولذلك تذهب وقفاً غير معوض عنها في حال من الأحوال، وهي حرف علة، والتنوين كلمة مستقلة، صحيح جلد، ولذلك تنقل إليه حركة الهمزة، ويعتد به في وزن الشعر، ويبدل منه ألف في الوقف في حال من أحواله، وهي إذا ما كان قبله مفتوحاً، وأيضاً فليس في الصلة ما في التنوين من كونه، كالزينة واللباس لما هو فيه، وأيضاً فقد تحذف الصلة وصلاً في فصيح الكلام نحو "يؤده"، و"نوله"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كما سيأتي قريباً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وهي لغة لبني كلاب، وأيضاً فإن الصلة تحذف لالتقاء الساكنين، والتنوين يثبت ويكسر، وأيضاً فإنه إذا اجتمع تنوين وحرف علة حذف حرف العلة وبقي التنوين، نحو  ( قاضٍ، وغازٍ ) رفعاً وجراً، فالصلة إشباعٌ لحركة الضمير، على أن بعضهم منع من الإدغام في "سبحانه هو"، </w:t>
      </w:r>
      <w:proofErr w:type="spellStart"/>
      <w:r w:rsidRPr="0056670A">
        <w:rPr>
          <w:rFonts w:ascii="Times New Roman" w:eastAsia="Calibri" w:hAnsi="Times New Roman" w:cs="Times New Roman" w:hint="cs"/>
          <w:sz w:val="20"/>
          <w:szCs w:val="20"/>
          <w:rtl/>
        </w:rPr>
        <w:t>و"من</w:t>
      </w:r>
      <w:proofErr w:type="spellEnd"/>
      <w:r w:rsidRPr="0056670A">
        <w:rPr>
          <w:rFonts w:ascii="Times New Roman" w:eastAsia="Calibri" w:hAnsi="Times New Roman" w:cs="Times New Roman" w:hint="cs"/>
          <w:sz w:val="20"/>
          <w:szCs w:val="20"/>
          <w:rtl/>
        </w:rPr>
        <w:t xml:space="preserve"> فضله هو خيراً" اعتداداً بالصلة، وقد نص أبو حاتم وغيره على ذلك، والإدغام هو المشهور))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العقد النضيد:1/427،426، وينظر كنز المعاني:للجعبري:1/388، وإبراز المعاني:82، والإتحاف:31.</w:t>
      </w:r>
    </w:p>
  </w:footnote>
  <w:footnote w:id="15">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هو: عبد الواحد بن الحسين بن أحمد بن عثمان بن شيطا، أبو الفتح البغدادي المقرئ، صاحب كتاب التذكار في القراءات العشر. ولد سنة سبعين وثلاثمائة. قرأ على أبي الحسن بن العلاف، وأبي الحسن بن الحمامي. قرأ عليه: أبو الفضل محمد بن محمد بن الصاغ، وأبو الوفاء بن عقيل. توفي سنة: خمسين وأربعمائة [غاية النهاية:1/473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ومعرفة القراء:2/791].</w:t>
      </w:r>
    </w:p>
  </w:footnote>
  <w:footnote w:id="16">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لم أقف عليه فلعله مفقود.</w:t>
      </w:r>
    </w:p>
  </w:footnote>
  <w:footnote w:id="17">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ما بين المعقوفتين في ب و ج: </w:t>
      </w:r>
      <w:proofErr w:type="spellStart"/>
      <w:r w:rsidRPr="0056670A">
        <w:rPr>
          <w:rFonts w:ascii="Times New Roman" w:eastAsia="Calibri" w:hAnsi="Times New Roman" w:cs="Times New Roman" w:hint="cs"/>
          <w:sz w:val="20"/>
          <w:szCs w:val="20"/>
          <w:rtl/>
        </w:rPr>
        <w:t>تقج</w:t>
      </w:r>
      <w:proofErr w:type="spellEnd"/>
      <w:r w:rsidRPr="0056670A">
        <w:rPr>
          <w:rFonts w:ascii="Times New Roman" w:eastAsia="Calibri" w:hAnsi="Times New Roman" w:cs="Times New Roman" w:hint="cs"/>
          <w:sz w:val="20"/>
          <w:szCs w:val="20"/>
          <w:rtl/>
        </w:rPr>
        <w:t>.</w:t>
      </w:r>
    </w:p>
  </w:footnote>
  <w:footnote w:id="18">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سقط من ج.</w:t>
      </w:r>
    </w:p>
  </w:footnote>
  <w:footnote w:id="19">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في ج: فلذا.</w:t>
      </w:r>
    </w:p>
  </w:footnote>
  <w:footnote w:id="20">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في الأصل ما.</w:t>
      </w:r>
    </w:p>
  </w:footnote>
  <w:footnote w:id="21">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108/أ.</w:t>
      </w:r>
    </w:p>
  </w:footnote>
  <w:footnote w:id="22">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المائدة من الآية: 28.</w:t>
      </w:r>
    </w:p>
  </w:footnote>
  <w:footnote w:id="23">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ينظر الإتحاف: 31.</w:t>
      </w:r>
    </w:p>
  </w:footnote>
  <w:footnote w:id="24">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النبأ من الآية: 40.</w:t>
      </w:r>
    </w:p>
  </w:footnote>
  <w:footnote w:id="25">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يونس من الآية: 99.</w:t>
      </w:r>
    </w:p>
  </w:footnote>
  <w:footnote w:id="26">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ما بين المعقوفتين في ج : بسبق.</w:t>
      </w:r>
    </w:p>
  </w:footnote>
  <w:footnote w:id="27">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المراد بقوله </w:t>
      </w:r>
      <w:proofErr w:type="spellStart"/>
      <w:r w:rsidRPr="0056670A">
        <w:rPr>
          <w:rFonts w:ascii="Times New Roman" w:eastAsia="Calibri" w:hAnsi="Times New Roman" w:cs="Times New Roman" w:hint="cs"/>
          <w:sz w:val="20"/>
          <w:szCs w:val="20"/>
          <w:rtl/>
        </w:rPr>
        <w:t>كهذين</w:t>
      </w:r>
      <w:proofErr w:type="spellEnd"/>
      <w:r w:rsidRPr="0056670A">
        <w:rPr>
          <w:rFonts w:ascii="Times New Roman" w:eastAsia="Calibri" w:hAnsi="Times New Roman" w:cs="Times New Roman" w:hint="cs"/>
          <w:sz w:val="20"/>
          <w:szCs w:val="20"/>
          <w:rtl/>
        </w:rPr>
        <w:t xml:space="preserve"> المثالين: قوله تعالى: "كنت تراباً"، و"أفأنت تكره" السابق ذكرها.</w:t>
      </w:r>
    </w:p>
  </w:footnote>
  <w:footnote w:id="28">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وذلك لأن أصل (كنت) (كونت) مثل (كرمت) فنقلت ضمة العين إلى الفاء، وحذفت العين، ثم إن النون ساكنة، فكثر الإعلال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الدر النثير </w:t>
      </w:r>
      <w:proofErr w:type="spellStart"/>
      <w:r w:rsidRPr="0056670A">
        <w:rPr>
          <w:rFonts w:ascii="Times New Roman" w:eastAsia="Calibri" w:hAnsi="Times New Roman" w:cs="Times New Roman" w:hint="cs"/>
          <w:sz w:val="20"/>
          <w:szCs w:val="20"/>
          <w:rtl/>
        </w:rPr>
        <w:t>للمالقي</w:t>
      </w:r>
      <w:proofErr w:type="spellEnd"/>
      <w:r w:rsidRPr="0056670A">
        <w:rPr>
          <w:rFonts w:ascii="Times New Roman" w:eastAsia="Calibri" w:hAnsi="Times New Roman" w:cs="Times New Roman" w:hint="cs"/>
          <w:sz w:val="20"/>
          <w:szCs w:val="20"/>
          <w:rtl/>
        </w:rPr>
        <w:t>: 237، وينظر السبعة لابن مجاهد:117، وإدغام القراء للسيرافي:12.</w:t>
      </w:r>
    </w:p>
  </w:footnote>
  <w:footnote w:id="29">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الإسراء من الآية: 74.</w:t>
      </w:r>
    </w:p>
  </w:footnote>
  <w:footnote w:id="30">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يوسف من الآية: 5.</w:t>
      </w:r>
    </w:p>
  </w:footnote>
  <w:footnote w:id="31">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xml:space="preserve">) ذكره الجعبري في كنز المعاني: 1/388، والنويري في شرح الطيبة:2/77،67، وينظر شرح شعلة على الشاطبية:52،51، والدر النثير:235-237، ويقول السخاوي -رحمه الله-: (( فأما تاء المخبر والمخاطب فسبب إظهارهما كونهما على حرف واحد، فالإدغام مجحف به، ولأن قبله ساكناً ففي إدغامه جمع بين الساكنين، ولأنه إذا أدغم ألبس فلا يدري ضمير المخبر من ضمير المخاطب، وكذلك في (أنت)، فليس ضمير المخاطب المذكر بالمؤنث)) </w:t>
      </w:r>
      <w:r w:rsidRPr="0056670A">
        <w:rPr>
          <w:rFonts w:ascii="Times New Roman" w:eastAsia="Calibri" w:hAnsi="Times New Roman" w:cs="Times New Roman"/>
          <w:sz w:val="20"/>
          <w:szCs w:val="20"/>
          <w:rtl/>
        </w:rPr>
        <w:t>–</w:t>
      </w:r>
      <w:r w:rsidRPr="0056670A">
        <w:rPr>
          <w:rFonts w:ascii="Times New Roman" w:eastAsia="Calibri" w:hAnsi="Times New Roman" w:cs="Times New Roman" w:hint="cs"/>
          <w:sz w:val="20"/>
          <w:szCs w:val="20"/>
          <w:rtl/>
        </w:rPr>
        <w:t xml:space="preserve"> فتح الوصيد:1/291،290، وينظر العقد النضيد: 1/425.</w:t>
      </w:r>
    </w:p>
  </w:footnote>
  <w:footnote w:id="32">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الإسراء من الآية: 61.</w:t>
      </w:r>
    </w:p>
  </w:footnote>
  <w:footnote w:id="33">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الحجر من الآية: 39.</w:t>
      </w:r>
    </w:p>
  </w:footnote>
  <w:footnote w:id="34">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القمر من الآية: 48.</w:t>
      </w:r>
    </w:p>
  </w:footnote>
  <w:footnote w:id="35">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الأعراف من الآية: 142.</w:t>
      </w:r>
    </w:p>
  </w:footnote>
  <w:footnote w:id="36">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الرعد من الآية: 19.</w:t>
      </w:r>
    </w:p>
  </w:footnote>
  <w:footnote w:id="37">
    <w:p w:rsidR="0056670A" w:rsidRPr="0056670A" w:rsidRDefault="0056670A" w:rsidP="0056670A">
      <w:pPr>
        <w:spacing w:line="192" w:lineRule="auto"/>
        <w:jc w:val="lowKashida"/>
        <w:rPr>
          <w:rFonts w:ascii="Times New Roman" w:eastAsia="Calibri" w:hAnsi="Times New Roman" w:cs="Times New Roman" w:hint="cs"/>
          <w:sz w:val="20"/>
          <w:szCs w:val="20"/>
        </w:rPr>
      </w:pPr>
      <w:r w:rsidRPr="0056670A">
        <w:rPr>
          <w:rFonts w:ascii="Times New Roman" w:eastAsia="Calibri" w:hAnsi="Times New Roman" w:cs="Times New Roman" w:hint="cs"/>
          <w:sz w:val="20"/>
          <w:szCs w:val="20"/>
          <w:rtl/>
        </w:rPr>
        <w:t>(</w:t>
      </w:r>
      <w:r w:rsidRPr="0056670A">
        <w:rPr>
          <w:rFonts w:ascii="Times New Roman" w:eastAsia="Calibri" w:hAnsi="Times New Roman" w:cs="Times New Roman"/>
          <w:sz w:val="20"/>
          <w:szCs w:val="20"/>
        </w:rPr>
        <w:footnoteRef/>
      </w:r>
      <w:r w:rsidRPr="0056670A">
        <w:rPr>
          <w:rFonts w:ascii="Times New Roman" w:eastAsia="Calibri" w:hAnsi="Times New Roman" w:cs="Times New Roman" w:hint="cs"/>
          <w:sz w:val="20"/>
          <w:szCs w:val="20"/>
          <w:rtl/>
        </w:rPr>
        <w:t>) سورة البقرة من الآية: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1E"/>
    <w:rsid w:val="00525568"/>
    <w:rsid w:val="0056670A"/>
    <w:rsid w:val="00605B1E"/>
    <w:rsid w:val="007F7465"/>
    <w:rsid w:val="00A23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6670A"/>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6670A"/>
    <w:rPr>
      <w:rFonts w:ascii="Times New Roman" w:eastAsia="Times New Roman" w:hAnsi="Times New Roman" w:cs="Simplified Arabic"/>
      <w:sz w:val="20"/>
      <w:szCs w:val="20"/>
      <w:lang w:bidi="ar-EG"/>
    </w:rPr>
  </w:style>
  <w:style w:type="character" w:styleId="a4">
    <w:name w:val="footnote reference"/>
    <w:basedOn w:val="a0"/>
    <w:semiHidden/>
    <w:rsid w:val="0056670A"/>
    <w:rPr>
      <w:vertAlign w:val="superscript"/>
    </w:rPr>
  </w:style>
  <w:style w:type="paragraph" w:customStyle="1" w:styleId="CharCharCharCharCharCharCharCharChar">
    <w:name w:val=" Char Char Char Char Char Char Char Char Char"/>
    <w:basedOn w:val="a"/>
    <w:rsid w:val="0056670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B1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56670A"/>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56670A"/>
    <w:rPr>
      <w:rFonts w:ascii="Times New Roman" w:eastAsia="Times New Roman" w:hAnsi="Times New Roman" w:cs="Simplified Arabic"/>
      <w:sz w:val="20"/>
      <w:szCs w:val="20"/>
      <w:lang w:bidi="ar-EG"/>
    </w:rPr>
  </w:style>
  <w:style w:type="character" w:styleId="a4">
    <w:name w:val="footnote reference"/>
    <w:basedOn w:val="a0"/>
    <w:semiHidden/>
    <w:rsid w:val="0056670A"/>
    <w:rPr>
      <w:vertAlign w:val="superscript"/>
    </w:rPr>
  </w:style>
  <w:style w:type="paragraph" w:customStyle="1" w:styleId="CharCharCharCharCharCharCharCharChar">
    <w:name w:val=" Char Char Char Char Char Char Char Char Char"/>
    <w:basedOn w:val="a"/>
    <w:rsid w:val="0056670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1396</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1</cp:revision>
  <dcterms:created xsi:type="dcterms:W3CDTF">2013-06-01T10:10:00Z</dcterms:created>
  <dcterms:modified xsi:type="dcterms:W3CDTF">2013-06-01T10:23:00Z</dcterms:modified>
</cp:coreProperties>
</file>