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6E" w:rsidRPr="00A730EB" w:rsidRDefault="009D126E" w:rsidP="00F94044">
      <w:pPr>
        <w:pStyle w:val="Heading1"/>
        <w:spacing w:before="120" w:after="0" w:line="360" w:lineRule="auto"/>
        <w:ind w:firstLine="720"/>
        <w:jc w:val="center"/>
        <w:rPr>
          <w:rFonts w:cs="Simplified Arabic"/>
          <w:sz w:val="28"/>
          <w:szCs w:val="28"/>
          <w:rtl/>
          <w:lang w:bidi="ar-EG"/>
        </w:rPr>
      </w:pPr>
      <w:r w:rsidRPr="009D126E">
        <w:rPr>
          <w:rFonts w:hint="cs"/>
          <w:sz w:val="52"/>
          <w:szCs w:val="52"/>
          <w:rtl/>
          <w:lang w:eastAsia="zh-CN"/>
        </w:rPr>
        <w:t>البحث الدلالي والمجاز</w:t>
      </w:r>
      <w:r w:rsidR="00D91866">
        <w:rPr>
          <w:rFonts w:hint="cs"/>
          <w:sz w:val="52"/>
          <w:szCs w:val="52"/>
          <w:rtl/>
          <w:lang w:eastAsia="zh-CN"/>
        </w:rPr>
        <w:t>(</w:t>
      </w:r>
      <w:r w:rsidR="00F94044">
        <w:rPr>
          <w:rFonts w:hint="cs"/>
          <w:sz w:val="52"/>
          <w:szCs w:val="52"/>
          <w:rtl/>
          <w:lang w:eastAsia="zh-CN"/>
        </w:rPr>
        <w:t>5</w:t>
      </w:r>
      <w:r w:rsidR="00D91866">
        <w:rPr>
          <w:rFonts w:hint="cs"/>
          <w:sz w:val="52"/>
          <w:szCs w:val="52"/>
          <w:rtl/>
          <w:lang w:eastAsia="zh-CN"/>
        </w:rPr>
        <w:t>)</w:t>
      </w:r>
    </w:p>
    <w:p w:rsidR="007B7509" w:rsidRPr="007B7509" w:rsidRDefault="007B7509" w:rsidP="004E5172">
      <w:pPr>
        <w:spacing w:before="120" w:after="120" w:line="360" w:lineRule="auto"/>
        <w:jc w:val="center"/>
        <w:rPr>
          <w:rFonts w:ascii="Arial" w:eastAsia="MS Mincho" w:hAnsi="Arial" w:cs="Arial"/>
          <w:color w:val="222222"/>
          <w:sz w:val="40"/>
          <w:szCs w:val="40"/>
          <w:rtl/>
        </w:rPr>
        <w:sectPr w:rsidR="007B7509" w:rsidRPr="007B750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r w:rsidRPr="007B7509">
        <w:rPr>
          <w:rFonts w:ascii="Arial" w:eastAsia="MS Mincho" w:hAnsi="Arial" w:cs="Arial" w:hint="cs"/>
          <w:color w:val="222222"/>
          <w:sz w:val="40"/>
          <w:szCs w:val="40"/>
          <w:rtl/>
        </w:rPr>
        <w:t xml:space="preserve">(بحث في </w:t>
      </w:r>
      <w:r w:rsidR="009D126E">
        <w:rPr>
          <w:rFonts w:ascii="Arial" w:eastAsia="MS Mincho" w:hAnsi="Arial" w:cs="Arial" w:hint="cs"/>
          <w:color w:val="222222"/>
          <w:sz w:val="40"/>
          <w:szCs w:val="40"/>
          <w:rtl/>
        </w:rPr>
        <w:t>أشكال التغير الدلالي</w:t>
      </w:r>
      <w:r w:rsidRPr="007B7509">
        <w:rPr>
          <w:rFonts w:ascii="Arial" w:eastAsia="MS Mincho" w:hAnsi="Arial" w:cs="Arial" w:hint="cs"/>
          <w:color w:val="222222"/>
          <w:sz w:val="40"/>
          <w:szCs w:val="40"/>
          <w:rtl/>
        </w:rPr>
        <w:t>)</w:t>
      </w:r>
    </w:p>
    <w:p w:rsidR="005C4EA9" w:rsidRPr="004E5172" w:rsidRDefault="004B3A23" w:rsidP="00476FF1">
      <w:pPr>
        <w:pStyle w:val="Author"/>
        <w:bidi/>
        <w:spacing w:line="360" w:lineRule="auto"/>
        <w:rPr>
          <w:rFonts w:eastAsia="Times New Roman"/>
          <w:b/>
          <w:bCs/>
          <w:sz w:val="28"/>
          <w:szCs w:val="28"/>
          <w:rtl/>
          <w:lang w:bidi="ar-EG"/>
        </w:rPr>
      </w:pPr>
      <w:r w:rsidRPr="004E5172">
        <w:rPr>
          <w:rFonts w:hint="cs"/>
          <w:b/>
          <w:bCs/>
          <w:i/>
          <w:iCs/>
          <w:sz w:val="28"/>
          <w:szCs w:val="28"/>
          <w:rtl/>
        </w:rPr>
        <w:lastRenderedPageBreak/>
        <w:t xml:space="preserve">د/ </w:t>
      </w:r>
      <w:r w:rsidRPr="004E5172">
        <w:rPr>
          <w:rFonts w:hint="cs"/>
          <w:b/>
          <w:bCs/>
          <w:i/>
          <w:iCs/>
          <w:sz w:val="28"/>
          <w:szCs w:val="28"/>
          <w:rtl/>
          <w:lang w:bidi="ar-EG"/>
        </w:rPr>
        <w:t>كامل أنور سعيد</w:t>
      </w:r>
    </w:p>
    <w:p w:rsidR="004B3A23" w:rsidRDefault="004B3A23" w:rsidP="00476FF1">
      <w:pPr>
        <w:pStyle w:val="Affiliation"/>
        <w:bidi/>
        <w:spacing w:line="360" w:lineRule="auto"/>
        <w:rPr>
          <w:rFonts w:eastAsia="Times New Roman"/>
        </w:rPr>
      </w:pPr>
      <w:r>
        <w:rPr>
          <w:rFonts w:hint="cs"/>
          <w:i/>
          <w:iCs/>
          <w:rtl/>
        </w:rPr>
        <w:t>قسم اللغة العربية</w:t>
      </w:r>
    </w:p>
    <w:p w:rsidR="004B3A23" w:rsidRDefault="004B3A23" w:rsidP="00476FF1">
      <w:pPr>
        <w:pStyle w:val="Affiliation"/>
        <w:bidi/>
        <w:spacing w:line="360" w:lineRule="auto"/>
      </w:pPr>
      <w:r>
        <w:rPr>
          <w:rFonts w:hint="cs"/>
          <w:i/>
          <w:iCs/>
          <w:rtl/>
        </w:rPr>
        <w:t xml:space="preserve">كلية اللغات </w:t>
      </w:r>
      <w:r>
        <w:rPr>
          <w:i/>
          <w:iCs/>
          <w:rtl/>
        </w:rPr>
        <w:t>–</w:t>
      </w:r>
      <w:r>
        <w:rPr>
          <w:rFonts w:hint="cs"/>
          <w:i/>
          <w:iCs/>
          <w:rtl/>
        </w:rPr>
        <w:t xml:space="preserve"> جامعة المدينة العالمية</w:t>
      </w:r>
      <w:r>
        <w:rPr>
          <w:rFonts w:eastAsia="Times New Roman"/>
          <w:i/>
          <w:iCs/>
        </w:rPr>
        <w:t xml:space="preserve"> </w:t>
      </w:r>
    </w:p>
    <w:p w:rsidR="004B3A23" w:rsidRDefault="004B3A23" w:rsidP="00476FF1">
      <w:pPr>
        <w:pStyle w:val="Affiliation"/>
        <w:bidi/>
        <w:spacing w:line="360" w:lineRule="auto"/>
        <w:rPr>
          <w:rtl/>
          <w:lang w:bidi="ar-EG"/>
        </w:rPr>
      </w:pPr>
      <w:r>
        <w:rPr>
          <w:rFonts w:hint="cs"/>
          <w:rtl/>
        </w:rPr>
        <w:t>شاه علم - ماليزيا</w:t>
      </w:r>
    </w:p>
    <w:p w:rsidR="004B3A23" w:rsidRDefault="004B3A23" w:rsidP="00476FF1">
      <w:pPr>
        <w:pStyle w:val="Affiliation"/>
        <w:bidi/>
        <w:spacing w:line="360" w:lineRule="auto"/>
        <w:jc w:val="both"/>
        <w:rPr>
          <w:i/>
          <w:iCs/>
          <w:rtl/>
        </w:rPr>
      </w:pPr>
    </w:p>
    <w:p w:rsidR="00623CEB" w:rsidRPr="001D2450" w:rsidRDefault="00FB28FB" w:rsidP="00476FF1">
      <w:pPr>
        <w:pStyle w:val="Affiliation"/>
        <w:bidi/>
        <w:spacing w:line="360" w:lineRule="auto"/>
        <w:rPr>
          <w:b/>
          <w:bCs/>
          <w:rtl/>
          <w:lang w:bidi="ar-EG"/>
        </w:rPr>
      </w:pPr>
      <w:hyperlink r:id="rId8" w:history="1">
        <w:r w:rsidR="00623CEB" w:rsidRPr="001D2450">
          <w:rPr>
            <w:rStyle w:val="Hyperlink"/>
            <w:i/>
            <w:iCs/>
          </w:rPr>
          <w:t>Kamel.anwer@mediu</w:t>
        </w:r>
      </w:hyperlink>
      <w:r w:rsidR="000F2ECD" w:rsidRPr="000F2ECD">
        <w:rPr>
          <w:rStyle w:val="Hyperlink"/>
          <w:i/>
          <w:iCs/>
        </w:rPr>
        <w:t>.ws</w:t>
      </w:r>
    </w:p>
    <w:p w:rsidR="005C4EA9" w:rsidRDefault="005C4EA9" w:rsidP="00476FF1">
      <w:pPr>
        <w:pStyle w:val="Affiliation"/>
        <w:bidi/>
        <w:spacing w:line="360" w:lineRule="auto"/>
        <w:rPr>
          <w:b/>
          <w:bCs/>
          <w:sz w:val="22"/>
          <w:szCs w:val="22"/>
          <w:rtl/>
          <w:lang w:bidi="ar-EG"/>
        </w:rPr>
        <w:sectPr w:rsidR="005C4EA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p>
    <w:p w:rsidR="00972672" w:rsidRDefault="00972672" w:rsidP="00476FF1">
      <w:pPr>
        <w:pStyle w:val="Affiliation"/>
        <w:bidi/>
        <w:spacing w:line="360" w:lineRule="auto"/>
        <w:rPr>
          <w:b/>
          <w:bCs/>
          <w:sz w:val="22"/>
          <w:szCs w:val="22"/>
          <w:rtl/>
          <w:lang w:bidi="ar-EG"/>
        </w:rPr>
      </w:pPr>
    </w:p>
    <w:p w:rsidR="00972672" w:rsidRDefault="00972672" w:rsidP="00E932F4">
      <w:pPr>
        <w:pStyle w:val="Affiliation"/>
        <w:bidi/>
        <w:spacing w:line="360" w:lineRule="auto"/>
        <w:jc w:val="left"/>
        <w:rPr>
          <w:b/>
          <w:bCs/>
          <w:sz w:val="22"/>
          <w:szCs w:val="22"/>
          <w:rtl/>
          <w:lang w:bidi="ar-EG"/>
        </w:rPr>
      </w:pPr>
    </w:p>
    <w:p w:rsidR="00476FF1" w:rsidRDefault="00623CEB" w:rsidP="0049019F">
      <w:pPr>
        <w:pStyle w:val="BodyText"/>
        <w:spacing w:before="120" w:after="0" w:line="360" w:lineRule="auto"/>
        <w:jc w:val="lowKashida"/>
        <w:rPr>
          <w:b/>
          <w:bCs/>
          <w:sz w:val="22"/>
          <w:szCs w:val="22"/>
          <w:rtl/>
          <w:lang w:eastAsia="zh-CN"/>
        </w:rPr>
      </w:pPr>
      <w:r w:rsidRPr="00E932F4">
        <w:rPr>
          <w:rFonts w:hint="cs"/>
          <w:b/>
          <w:bCs/>
          <w:rtl/>
          <w:lang w:eastAsia="zh-CN"/>
        </w:rPr>
        <w:t>الخلاصة</w:t>
      </w:r>
      <w:r w:rsidRPr="0036688B">
        <w:rPr>
          <w:rFonts w:hint="cs"/>
          <w:b/>
          <w:bCs/>
          <w:sz w:val="22"/>
          <w:szCs w:val="22"/>
          <w:rtl/>
          <w:lang w:eastAsia="zh-CN"/>
        </w:rPr>
        <w:t xml:space="preserve"> : </w:t>
      </w:r>
      <w:r w:rsidR="00E932F4">
        <w:rPr>
          <w:rFonts w:hint="cs"/>
          <w:b/>
          <w:bCs/>
          <w:sz w:val="22"/>
          <w:szCs w:val="22"/>
          <w:rtl/>
          <w:lang w:eastAsia="zh-CN"/>
        </w:rPr>
        <w:t xml:space="preserve">يعرض هذا البحث </w:t>
      </w:r>
      <w:r w:rsidR="00E932F4" w:rsidRPr="00A079A0">
        <w:rPr>
          <w:rFonts w:hint="cs"/>
          <w:b/>
          <w:bCs/>
          <w:sz w:val="22"/>
          <w:szCs w:val="22"/>
          <w:rtl/>
          <w:lang w:eastAsia="zh-CN"/>
        </w:rPr>
        <w:t xml:space="preserve"> ملخصاً لنظريتين حديثتين جداً لتفسير الدلالات وتطورها، ونلحظ مواقع المجاز والاستعارة فيهما، وكيفية تمييز الأساليب التعبيرية من الطرائق الدلالية المعرفية للمجاز عامة.</w:t>
      </w:r>
    </w:p>
    <w:p w:rsidR="004E5172" w:rsidRDefault="004E5172" w:rsidP="004E5172">
      <w:pPr>
        <w:suppressAutoHyphens/>
        <w:spacing w:line="360" w:lineRule="auto"/>
        <w:jc w:val="both"/>
        <w:rPr>
          <w:b/>
          <w:bCs/>
          <w:rtl/>
          <w:lang w:eastAsia="zh-CN"/>
        </w:rPr>
      </w:pPr>
    </w:p>
    <w:p w:rsidR="005C61A2" w:rsidRDefault="0036688B" w:rsidP="004E5172">
      <w:pPr>
        <w:suppressAutoHyphens/>
        <w:spacing w:line="360" w:lineRule="auto"/>
        <w:jc w:val="both"/>
        <w:rPr>
          <w:b/>
          <w:bCs/>
          <w:sz w:val="22"/>
          <w:szCs w:val="22"/>
          <w:rtl/>
          <w:lang w:eastAsia="zh-CN"/>
        </w:rPr>
      </w:pPr>
      <w:r w:rsidRPr="00E932F4">
        <w:rPr>
          <w:rFonts w:hint="cs"/>
          <w:b/>
          <w:bCs/>
          <w:rtl/>
          <w:lang w:eastAsia="zh-CN"/>
        </w:rPr>
        <w:t>الكلمات المفتاحية</w:t>
      </w:r>
      <w:r w:rsidRPr="0036688B">
        <w:rPr>
          <w:rFonts w:hint="cs"/>
          <w:b/>
          <w:bCs/>
          <w:sz w:val="22"/>
          <w:szCs w:val="22"/>
          <w:rtl/>
          <w:lang w:eastAsia="zh-CN"/>
        </w:rPr>
        <w:t xml:space="preserve">: </w:t>
      </w:r>
      <w:r w:rsidR="00476FF1" w:rsidRPr="00A079A0">
        <w:rPr>
          <w:rFonts w:hint="cs"/>
          <w:sz w:val="22"/>
          <w:szCs w:val="22"/>
          <w:rtl/>
          <w:lang w:eastAsia="zh-CN"/>
        </w:rPr>
        <w:t xml:space="preserve">البحث الدلالي </w:t>
      </w:r>
      <w:r w:rsidR="00476FF1">
        <w:rPr>
          <w:rFonts w:hint="cs"/>
          <w:sz w:val="22"/>
          <w:szCs w:val="22"/>
          <w:rtl/>
          <w:lang w:eastAsia="zh-CN"/>
        </w:rPr>
        <w:t xml:space="preserve">، </w:t>
      </w:r>
      <w:r w:rsidR="00476FF1" w:rsidRPr="00A079A0">
        <w:rPr>
          <w:rFonts w:hint="cs"/>
          <w:sz w:val="22"/>
          <w:szCs w:val="22"/>
          <w:rtl/>
          <w:lang w:eastAsia="zh-CN"/>
        </w:rPr>
        <w:t>المجاز</w:t>
      </w:r>
      <w:r w:rsidR="00476FF1">
        <w:rPr>
          <w:rFonts w:hint="cs"/>
          <w:b/>
          <w:bCs/>
          <w:sz w:val="22"/>
          <w:szCs w:val="22"/>
          <w:rtl/>
          <w:lang w:eastAsia="zh-CN"/>
        </w:rPr>
        <w:t xml:space="preserve">،  تغيرات المعنى، الشكل اللغوي ، الشكل المنطقي </w:t>
      </w:r>
    </w:p>
    <w:p w:rsidR="0036688B" w:rsidRPr="00E932F4" w:rsidRDefault="005C61A2" w:rsidP="00476FF1">
      <w:pPr>
        <w:suppressAutoHyphens/>
        <w:spacing w:line="360" w:lineRule="auto"/>
        <w:jc w:val="center"/>
        <w:rPr>
          <w:b/>
          <w:bCs/>
          <w:sz w:val="32"/>
          <w:szCs w:val="32"/>
          <w:rtl/>
          <w:lang w:eastAsia="zh-CN" w:bidi="ar-EG"/>
        </w:rPr>
      </w:pPr>
      <w:r w:rsidRPr="00E932F4">
        <w:rPr>
          <w:b/>
          <w:bCs/>
          <w:sz w:val="32"/>
          <w:szCs w:val="32"/>
          <w:lang w:eastAsia="zh-CN" w:bidi="ar-EG"/>
        </w:rPr>
        <w:t>I</w:t>
      </w:r>
      <w:r w:rsidRPr="00E932F4">
        <w:rPr>
          <w:rFonts w:hint="cs"/>
          <w:b/>
          <w:bCs/>
          <w:sz w:val="32"/>
          <w:szCs w:val="32"/>
          <w:rtl/>
          <w:lang w:eastAsia="zh-CN" w:bidi="ar-EG"/>
        </w:rPr>
        <w:t>.</w:t>
      </w:r>
      <w:r w:rsidR="0036688B" w:rsidRPr="00E932F4">
        <w:rPr>
          <w:rFonts w:hint="cs"/>
          <w:b/>
          <w:bCs/>
          <w:sz w:val="28"/>
          <w:szCs w:val="28"/>
          <w:rtl/>
          <w:lang w:eastAsia="zh-CN" w:bidi="ar-EG"/>
        </w:rPr>
        <w:t>المقدمة</w:t>
      </w:r>
    </w:p>
    <w:p w:rsidR="0036688B" w:rsidRDefault="00E932F4" w:rsidP="00476FF1">
      <w:pPr>
        <w:suppressAutoHyphens/>
        <w:spacing w:line="360" w:lineRule="auto"/>
        <w:ind w:firstLine="567"/>
        <w:jc w:val="both"/>
        <w:rPr>
          <w:b/>
          <w:bCs/>
          <w:sz w:val="22"/>
          <w:szCs w:val="22"/>
          <w:rtl/>
          <w:lang w:eastAsia="zh-CN"/>
        </w:rPr>
      </w:pPr>
      <w:r w:rsidRPr="00A079A0">
        <w:rPr>
          <w:rFonts w:hint="cs"/>
          <w:b/>
          <w:bCs/>
          <w:sz w:val="22"/>
          <w:szCs w:val="22"/>
          <w:rtl/>
          <w:lang w:eastAsia="zh-CN"/>
        </w:rPr>
        <w:t>عُرفت تغيرات المعنى ووُصفت منذ القديم، وتعد دراسة التغيرات جزءاً هامَّاً من البلاغة أو علم البيان، وتغيرات المعنى أو الاستعارات عبارة عن صور لفظية وتكوِّن مع الصور الأخرى صوراً للفصاحة والبناء والتفكير والطرق الأسلوبية،</w:t>
      </w:r>
      <w:r w:rsidR="005C61A2">
        <w:rPr>
          <w:rFonts w:hint="cs"/>
          <w:b/>
          <w:bCs/>
          <w:sz w:val="22"/>
          <w:szCs w:val="22"/>
          <w:rtl/>
          <w:lang w:eastAsia="zh-CN"/>
        </w:rPr>
        <w:t>.</w:t>
      </w:r>
    </w:p>
    <w:p w:rsidR="005C61A2" w:rsidRDefault="005C61A2" w:rsidP="00476FF1">
      <w:pPr>
        <w:suppressAutoHyphens/>
        <w:spacing w:line="360" w:lineRule="auto"/>
        <w:ind w:firstLine="567"/>
        <w:jc w:val="both"/>
        <w:rPr>
          <w:b/>
          <w:bCs/>
          <w:sz w:val="22"/>
          <w:szCs w:val="22"/>
          <w:rtl/>
          <w:lang w:eastAsia="zh-CN"/>
        </w:rPr>
      </w:pPr>
    </w:p>
    <w:p w:rsidR="005C61A2" w:rsidRPr="005C61A2" w:rsidRDefault="005C61A2" w:rsidP="00476FF1">
      <w:pPr>
        <w:suppressAutoHyphens/>
        <w:spacing w:line="360" w:lineRule="auto"/>
        <w:ind w:firstLine="567"/>
        <w:jc w:val="center"/>
        <w:rPr>
          <w:b/>
          <w:bCs/>
          <w:sz w:val="28"/>
          <w:szCs w:val="28"/>
          <w:rtl/>
          <w:lang w:eastAsia="zh-CN" w:bidi="ar-EG"/>
        </w:rPr>
      </w:pPr>
      <w:r w:rsidRPr="005C61A2">
        <w:rPr>
          <w:b/>
          <w:bCs/>
          <w:sz w:val="28"/>
          <w:szCs w:val="28"/>
          <w:lang w:eastAsia="zh-CN"/>
        </w:rPr>
        <w:t>II</w:t>
      </w:r>
      <w:r w:rsidRPr="005C61A2">
        <w:rPr>
          <w:rFonts w:hint="cs"/>
          <w:b/>
          <w:bCs/>
          <w:sz w:val="28"/>
          <w:szCs w:val="28"/>
          <w:rtl/>
          <w:lang w:eastAsia="zh-CN" w:bidi="ar-EG"/>
        </w:rPr>
        <w:t>. موضوع المقالة</w:t>
      </w:r>
    </w:p>
    <w:p w:rsidR="009D126E" w:rsidRPr="00A079A0" w:rsidRDefault="009D126E" w:rsidP="00F94044">
      <w:pPr>
        <w:pStyle w:val="BodyText"/>
        <w:spacing w:before="120" w:after="0" w:line="360" w:lineRule="auto"/>
        <w:jc w:val="lowKashida"/>
        <w:rPr>
          <w:b/>
          <w:bCs/>
          <w:sz w:val="22"/>
          <w:szCs w:val="22"/>
          <w:rtl/>
          <w:lang w:eastAsia="zh-CN"/>
        </w:rPr>
      </w:pPr>
      <w:r w:rsidRPr="00A079A0">
        <w:rPr>
          <w:rFonts w:hint="cs"/>
          <w:b/>
          <w:bCs/>
          <w:sz w:val="22"/>
          <w:szCs w:val="22"/>
          <w:rtl/>
          <w:lang w:eastAsia="zh-CN"/>
        </w:rPr>
        <w:t>ونعرض فيما يلي ملخصاً لنظريتين حديثتين جداً لتفسير الدلالات وتطورها، ونلحظ مواقع المجاز والاستعارة فيهما، وكيفية تمييز الأساليب التعبيرية من الطرائق الدلالية المعرفية للمجاز عامة.</w:t>
      </w:r>
    </w:p>
    <w:p w:rsidR="009D126E" w:rsidRPr="00F94044" w:rsidRDefault="009D126E" w:rsidP="00476FF1">
      <w:pPr>
        <w:pStyle w:val="BodyText"/>
        <w:spacing w:before="120" w:after="0" w:line="360" w:lineRule="auto"/>
        <w:ind w:firstLine="720"/>
        <w:jc w:val="lowKashida"/>
        <w:rPr>
          <w:b/>
          <w:bCs/>
          <w:sz w:val="28"/>
          <w:szCs w:val="28"/>
          <w:u w:val="single"/>
          <w:rtl/>
          <w:lang w:eastAsia="zh-CN"/>
        </w:rPr>
      </w:pPr>
      <w:r w:rsidRPr="00A079A0">
        <w:rPr>
          <w:rFonts w:hint="cs"/>
          <w:b/>
          <w:bCs/>
          <w:sz w:val="22"/>
          <w:szCs w:val="22"/>
          <w:rtl/>
          <w:lang w:eastAsia="zh-CN"/>
        </w:rPr>
        <w:t>1</w:t>
      </w:r>
      <w:r w:rsidRPr="00F94044">
        <w:rPr>
          <w:rFonts w:hint="cs"/>
          <w:b/>
          <w:bCs/>
          <w:sz w:val="28"/>
          <w:szCs w:val="28"/>
          <w:u w:val="single"/>
          <w:rtl/>
          <w:lang w:eastAsia="zh-CN"/>
        </w:rPr>
        <w:t xml:space="preserve">- نظرية </w:t>
      </w:r>
      <w:r w:rsidRPr="00F94044">
        <w:rPr>
          <w:b/>
          <w:bCs/>
          <w:sz w:val="28"/>
          <w:szCs w:val="28"/>
          <w:u w:val="single"/>
          <w:lang w:eastAsia="zh-CN"/>
        </w:rPr>
        <w:t>Stern</w:t>
      </w:r>
      <w:r w:rsidRPr="00F94044">
        <w:rPr>
          <w:rFonts w:hint="cs"/>
          <w:b/>
          <w:bCs/>
          <w:sz w:val="28"/>
          <w:szCs w:val="28"/>
          <w:u w:val="single"/>
          <w:rtl/>
          <w:lang w:eastAsia="zh-CN"/>
        </w:rPr>
        <w:t xml:space="preserve"> </w:t>
      </w:r>
      <w:r w:rsidR="00F94044">
        <w:rPr>
          <w:rFonts w:hint="cs"/>
          <w:b/>
          <w:bCs/>
          <w:sz w:val="28"/>
          <w:szCs w:val="28"/>
          <w:u w:val="single"/>
          <w:rtl/>
          <w:lang w:eastAsia="zh-CN"/>
        </w:rPr>
        <w:t>:</w:t>
      </w:r>
    </w:p>
    <w:p w:rsidR="00F94044" w:rsidRDefault="00F94044" w:rsidP="00F94044">
      <w:pPr>
        <w:pStyle w:val="BodyText"/>
        <w:spacing w:before="120" w:after="0" w:line="360" w:lineRule="auto"/>
        <w:jc w:val="lowKashida"/>
        <w:rPr>
          <w:rFonts w:hint="cs"/>
          <w:b/>
          <w:bCs/>
          <w:sz w:val="22"/>
          <w:szCs w:val="22"/>
          <w:rtl/>
          <w:lang w:eastAsia="zh-CN"/>
        </w:rPr>
      </w:pPr>
    </w:p>
    <w:p w:rsidR="009D126E" w:rsidRPr="00A079A0" w:rsidRDefault="009D126E" w:rsidP="00F94044">
      <w:pPr>
        <w:pStyle w:val="BodyText"/>
        <w:spacing w:before="120" w:after="0" w:line="360" w:lineRule="auto"/>
        <w:jc w:val="lowKashida"/>
        <w:rPr>
          <w:b/>
          <w:bCs/>
          <w:sz w:val="22"/>
          <w:szCs w:val="22"/>
          <w:rtl/>
          <w:lang w:eastAsia="zh-CN"/>
        </w:rPr>
      </w:pPr>
      <w:r w:rsidRPr="00A079A0">
        <w:rPr>
          <w:rFonts w:hint="cs"/>
          <w:b/>
          <w:bCs/>
          <w:sz w:val="22"/>
          <w:szCs w:val="22"/>
          <w:rtl/>
          <w:lang w:eastAsia="zh-CN"/>
        </w:rPr>
        <w:t xml:space="preserve">لقد كتب </w:t>
      </w:r>
      <w:r w:rsidRPr="00A079A0">
        <w:rPr>
          <w:b/>
          <w:bCs/>
          <w:sz w:val="22"/>
          <w:szCs w:val="22"/>
          <w:lang w:eastAsia="zh-CN"/>
        </w:rPr>
        <w:t>Stern</w:t>
      </w:r>
      <w:r w:rsidRPr="00A079A0">
        <w:rPr>
          <w:rFonts w:hint="cs"/>
          <w:b/>
          <w:bCs/>
          <w:sz w:val="22"/>
          <w:szCs w:val="22"/>
          <w:rtl/>
          <w:lang w:eastAsia="zh-CN"/>
        </w:rPr>
        <w:t xml:space="preserve"> كتاباً سماه </w:t>
      </w:r>
      <w:r w:rsidRPr="00A079A0">
        <w:rPr>
          <w:b/>
          <w:bCs/>
          <w:sz w:val="22"/>
          <w:szCs w:val="22"/>
          <w:lang w:eastAsia="zh-CN"/>
        </w:rPr>
        <w:t>Meaning and Change of Meaning</w:t>
      </w:r>
      <w:r w:rsidRPr="00A079A0">
        <w:rPr>
          <w:rFonts w:hint="cs"/>
          <w:b/>
          <w:bCs/>
          <w:sz w:val="22"/>
          <w:szCs w:val="22"/>
          <w:rtl/>
          <w:lang w:eastAsia="zh-CN"/>
        </w:rPr>
        <w:t xml:space="preserve"> (المعنى وتغيرات المعنى) وهو عبارة عن جدول عولجت فيه تغيرات المعنى من وجهة نظر سببي ووظائفي، وصُنفت في الوقت نفسه حسب غطار سيميولوجي مشتق من مثلث </w:t>
      </w:r>
      <w:proofErr w:type="spellStart"/>
      <w:r w:rsidRPr="00A079A0">
        <w:rPr>
          <w:b/>
          <w:bCs/>
          <w:sz w:val="22"/>
          <w:szCs w:val="22"/>
          <w:lang w:eastAsia="zh-CN"/>
        </w:rPr>
        <w:t>Richardg</w:t>
      </w:r>
      <w:proofErr w:type="spellEnd"/>
      <w:r w:rsidRPr="00A079A0">
        <w:rPr>
          <w:rFonts w:hint="cs"/>
          <w:b/>
          <w:bCs/>
          <w:sz w:val="22"/>
          <w:szCs w:val="22"/>
          <w:rtl/>
          <w:lang w:eastAsia="zh-CN"/>
        </w:rPr>
        <w:t xml:space="preserve"> لقد فرق </w:t>
      </w:r>
      <w:r w:rsidRPr="00A079A0">
        <w:rPr>
          <w:b/>
          <w:bCs/>
          <w:sz w:val="22"/>
          <w:szCs w:val="22"/>
          <w:lang w:eastAsia="zh-CN"/>
        </w:rPr>
        <w:t>Stern</w:t>
      </w:r>
      <w:r w:rsidRPr="00A079A0">
        <w:rPr>
          <w:rFonts w:hint="cs"/>
          <w:b/>
          <w:bCs/>
          <w:sz w:val="22"/>
          <w:szCs w:val="22"/>
          <w:rtl/>
          <w:lang w:eastAsia="zh-CN"/>
        </w:rPr>
        <w:t xml:space="preserve"> بين التغيرات الخارجية والتغيرات اللسانية، أما الأولى فتستقي من تغير المرجع أو من تغير الشيء المسمى، دون تغيير في الاسم، فنحن نعطي اسم (ريشة) أي قلم لشيء لم يعد مصنوعاً من ريشة الطير، أي إنها تحولت إلى تسمية لأداة الكتابة الخشبية وبعدها المعدنية على اختلاف أشكالها(</w:t>
      </w:r>
      <w:r w:rsidRPr="00A079A0">
        <w:rPr>
          <w:b/>
          <w:bCs/>
          <w:rtl/>
          <w:lang w:eastAsia="zh-CN"/>
        </w:rPr>
        <w:footnoteReference w:id="1"/>
      </w:r>
      <w:r w:rsidRPr="00A079A0">
        <w:rPr>
          <w:rFonts w:hint="cs"/>
          <w:b/>
          <w:bCs/>
          <w:sz w:val="22"/>
          <w:szCs w:val="22"/>
          <w:rtl/>
          <w:lang w:eastAsia="zh-CN"/>
        </w:rPr>
        <w:t>)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أما التغيرات اللغوية فهي تؤثر مباشرة على اللغة، إذ إنها عبارة عن علاقات المفردات فيما بينها وخصائصها الكامنة فيها، وقد فرق </w:t>
      </w:r>
      <w:r w:rsidRPr="00A079A0">
        <w:rPr>
          <w:b/>
          <w:bCs/>
          <w:sz w:val="22"/>
          <w:szCs w:val="22"/>
          <w:lang w:eastAsia="zh-CN"/>
        </w:rPr>
        <w:t>Stern</w:t>
      </w:r>
      <w:r w:rsidRPr="00A079A0">
        <w:rPr>
          <w:rFonts w:hint="cs"/>
          <w:b/>
          <w:bCs/>
          <w:sz w:val="22"/>
          <w:szCs w:val="22"/>
          <w:rtl/>
          <w:lang w:eastAsia="zh-CN"/>
        </w:rPr>
        <w:t xml:space="preserve"> بين: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1- نقل الاسم وتطوره لأسباب صوتية تركيبية وما إليها مما يتصل بالشكل وعلاقاته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2- نقل العلاقة التصويرية أي نقل المعنى، وذلك بالنقل المقصود والمجازات.</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3- نقل (أو تحويل) العلاقة الذاتية بين الكلمة ومتكلميها فهنا يعالج المؤلف المجاز وأنواعه في </w:t>
      </w:r>
      <w:r w:rsidRPr="00A079A0">
        <w:rPr>
          <w:rFonts w:hint="cs"/>
          <w:b/>
          <w:bCs/>
          <w:sz w:val="22"/>
          <w:szCs w:val="22"/>
          <w:rtl/>
          <w:lang w:eastAsia="zh-CN"/>
        </w:rPr>
        <w:lastRenderedPageBreak/>
        <w:t>الاستعمال (</w:t>
      </w:r>
      <w:r w:rsidRPr="00A079A0">
        <w:rPr>
          <w:b/>
          <w:bCs/>
          <w:rtl/>
          <w:lang w:eastAsia="zh-CN"/>
        </w:rPr>
        <w:footnoteReference w:id="2"/>
      </w:r>
      <w:r w:rsidRPr="00A079A0">
        <w:rPr>
          <w:rFonts w:hint="cs"/>
          <w:b/>
          <w:bCs/>
          <w:sz w:val="22"/>
          <w:szCs w:val="22"/>
          <w:rtl/>
          <w:lang w:eastAsia="zh-CN"/>
        </w:rPr>
        <w:t xml:space="preserve">) اللغوي، فيقول بأن (التسمية) تكون بإعطاء اسم جديد لواحد من التصورات، ويفرق بين التسمية الإرادية المدركة لهدفها والنقل الدلالي غير المقصود مجازا، والنقل الأسلوبي (استعارات، ومجازات)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أ- فهناك تسمية إرادية مقصودة عندما نصوغ حدّاً جديداً بواسطة التركيب </w:t>
      </w:r>
      <w:r w:rsidRPr="00A079A0">
        <w:rPr>
          <w:b/>
          <w:bCs/>
          <w:sz w:val="22"/>
          <w:szCs w:val="22"/>
          <w:lang w:eastAsia="zh-CN"/>
        </w:rPr>
        <w:t xml:space="preserve">break fast, </w:t>
      </w:r>
      <w:proofErr w:type="spellStart"/>
      <w:r w:rsidRPr="00A079A0">
        <w:rPr>
          <w:b/>
          <w:bCs/>
          <w:sz w:val="22"/>
          <w:szCs w:val="22"/>
          <w:lang w:eastAsia="zh-CN"/>
        </w:rPr>
        <w:t>blak</w:t>
      </w:r>
      <w:proofErr w:type="spellEnd"/>
      <w:r w:rsidRPr="00A079A0">
        <w:rPr>
          <w:b/>
          <w:bCs/>
          <w:sz w:val="22"/>
          <w:szCs w:val="22"/>
          <w:lang w:eastAsia="zh-CN"/>
        </w:rPr>
        <w:t xml:space="preserve"> bird</w:t>
      </w:r>
      <w:r w:rsidRPr="00A079A0">
        <w:rPr>
          <w:rFonts w:hint="cs"/>
          <w:b/>
          <w:bCs/>
          <w:sz w:val="22"/>
          <w:szCs w:val="22"/>
          <w:rtl/>
          <w:lang w:eastAsia="zh-CN"/>
        </w:rPr>
        <w:t xml:space="preserve"> والاشتقاق بضرر به المختلفة </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 xml:space="preserve">ب- وهناك النقل الإيرادي غير التصويري أي أن المستعملين لم يهدفوا إلى تحقيق تأثير معين، أو ابتكار أدبي عندما تداولوا مثل هذا النوع من الألفاظ، وذلك في الاستعارات المفهومية الخالصة، كأن نقول في الفرنسية عن المطرقة: قدم الغزالة </w:t>
      </w:r>
      <w:r w:rsidRPr="00A079A0">
        <w:rPr>
          <w:b/>
          <w:bCs/>
          <w:sz w:val="22"/>
          <w:szCs w:val="22"/>
          <w:lang w:eastAsia="zh-CN"/>
        </w:rPr>
        <w:t xml:space="preserve">Pied de </w:t>
      </w:r>
      <w:proofErr w:type="spellStart"/>
      <w:r w:rsidRPr="00A079A0">
        <w:rPr>
          <w:b/>
          <w:bCs/>
          <w:sz w:val="22"/>
          <w:szCs w:val="22"/>
          <w:lang w:eastAsia="zh-CN"/>
        </w:rPr>
        <w:t>Piche</w:t>
      </w:r>
      <w:proofErr w:type="spellEnd"/>
      <w:r w:rsidRPr="00A079A0">
        <w:rPr>
          <w:rFonts w:hint="cs"/>
          <w:b/>
          <w:bCs/>
          <w:sz w:val="22"/>
          <w:szCs w:val="22"/>
          <w:rtl/>
          <w:lang w:eastAsia="zh-CN"/>
        </w:rPr>
        <w:t xml:space="preserve">، أو عن نوع من الظهور: كرة الثلج </w:t>
      </w:r>
      <w:proofErr w:type="spellStart"/>
      <w:r w:rsidRPr="00A079A0">
        <w:rPr>
          <w:b/>
          <w:bCs/>
          <w:sz w:val="22"/>
          <w:szCs w:val="22"/>
          <w:lang w:eastAsia="zh-CN"/>
        </w:rPr>
        <w:t>Boule</w:t>
      </w:r>
      <w:proofErr w:type="spellEnd"/>
      <w:r w:rsidRPr="00A079A0">
        <w:rPr>
          <w:rFonts w:hint="cs"/>
          <w:b/>
          <w:bCs/>
          <w:sz w:val="22"/>
          <w:szCs w:val="22"/>
          <w:rtl/>
          <w:lang w:eastAsia="zh-CN"/>
        </w:rPr>
        <w:t>... الخن ويقابلها في العربية الدراجة: " هات الخرطوم "، دلالة على الأنبوب المطاطي المستعمل في نقل المياه، فالأصل في الخرطوم ان تدل على الأنف، لكنها خصصت في الأزمنة الحديثة بأنف الفيل، ومن ثم استعير لذاك الابتكار المادي وغلب عليه دون ان يوحي إليه بأي إحساس غير الاستجابة التلقائية لمتابعة العمل واستخدامه.</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ج- وهناك الصور الأسلوبية (المجازات) ذات الغرض التعبيري، ونخص منها الاستعارة الأسلوبي</w:t>
      </w:r>
      <w:r w:rsidRPr="00A079A0">
        <w:rPr>
          <w:rFonts w:hint="eastAsia"/>
          <w:b/>
          <w:bCs/>
          <w:sz w:val="22"/>
          <w:szCs w:val="22"/>
          <w:rtl/>
          <w:lang w:eastAsia="zh-CN"/>
        </w:rPr>
        <w:t>ة</w:t>
      </w:r>
      <w:r w:rsidRPr="00A079A0">
        <w:rPr>
          <w:rFonts w:hint="cs"/>
          <w:b/>
          <w:bCs/>
          <w:sz w:val="22"/>
          <w:szCs w:val="22"/>
          <w:rtl/>
          <w:lang w:eastAsia="zh-CN"/>
        </w:rPr>
        <w:t>، وههنا تمثل تسمية خاصة تتجاوز العرف العام للغة في مقام خاص فيكون للتسمية وقتها وفاعليتها المميزة.</w:t>
      </w:r>
    </w:p>
    <w:p w:rsidR="009D126E" w:rsidRPr="00A079A0" w:rsidRDefault="009D126E" w:rsidP="00476FF1">
      <w:pPr>
        <w:pStyle w:val="BodyText"/>
        <w:spacing w:before="120" w:after="0" w:line="360" w:lineRule="auto"/>
        <w:ind w:firstLine="720"/>
        <w:jc w:val="lowKashida"/>
        <w:rPr>
          <w:b/>
          <w:bCs/>
          <w:sz w:val="22"/>
          <w:szCs w:val="22"/>
          <w:rtl/>
          <w:lang w:eastAsia="zh-CN"/>
        </w:rPr>
      </w:pPr>
      <w:r w:rsidRPr="00A079A0">
        <w:rPr>
          <w:rFonts w:hint="cs"/>
          <w:b/>
          <w:bCs/>
          <w:sz w:val="22"/>
          <w:szCs w:val="22"/>
          <w:rtl/>
          <w:lang w:eastAsia="zh-CN"/>
        </w:rPr>
        <w:t>وأما علاقة المتكلم بالأشياء التي يتحدث عنها ( ستيرن) فتتضح منعكسة في أشكال مجازية، أو أشكال علاقات المجاز بالاستعارة، ويستخدم "ستيرن " مصطلح  " الاستبدال "، ويرى أنه ينتج عن تركيز المتكلم على خصيصة معينة أو ملمح معين من ملامح الشيء، ومن ثم يكون محور اهتمامه، فيعبر به في أسلوب يشمل دروب المجاز المرسل بكل علاقاته، فنحن نشير إلى المركب الذي يتراءى لنا في الأفق، فنقول: " ذاك شراع يتهادى" فنكتفي بالجزء عن الكل.</w:t>
      </w:r>
    </w:p>
    <w:p w:rsidR="00F94044" w:rsidRDefault="009D126E" w:rsidP="00F94044">
      <w:pPr>
        <w:pStyle w:val="BodyText"/>
        <w:spacing w:before="120" w:after="0" w:line="360" w:lineRule="auto"/>
        <w:ind w:firstLine="720"/>
        <w:jc w:val="lowKashida"/>
        <w:rPr>
          <w:rFonts w:hint="cs"/>
          <w:b/>
          <w:bCs/>
          <w:sz w:val="22"/>
          <w:szCs w:val="22"/>
          <w:rtl/>
          <w:lang w:eastAsia="zh-CN"/>
        </w:rPr>
      </w:pPr>
      <w:r w:rsidRPr="00A079A0">
        <w:rPr>
          <w:rFonts w:hint="cs"/>
          <w:b/>
          <w:bCs/>
          <w:sz w:val="22"/>
          <w:szCs w:val="22"/>
          <w:rtl/>
          <w:lang w:eastAsia="zh-CN"/>
        </w:rPr>
        <w:lastRenderedPageBreak/>
        <w:t>ويذكر "ستيرن" مصطلحاً أخر هو " الملاءمة " وهو طريقة من طرق التبديل، ويحدث عندما يأخذ الذهن بميزة جديدة للمرجع، وذلك كما في " قرن النفخ " الخاص بالصيادين الذي أخذ اسمه من قرن الوعل بواسطة الاستبدال المجازي وبعد ذلك اضمحل التعليل الاشتقاقي للتسمية وغدة السمة الأساسية للقرن هي إنه شكل تنبعث منه أنماط خاصة من الأصوات عند الصيادين، وقد استخدمت كلمة (قرن) للدلالة على البوق النحاسي الموسيقي) رغم إنه لا علاقة تربط بين قرن الغزال (الوعل) والبوق سواء من حيث المادة المكونة او الشكل، ويعبر اللغوي دراسة دارستيتر عن هذا النوع من الاستعمال بالإطراض (</w:t>
      </w:r>
      <w:r w:rsidRPr="00A079A0">
        <w:rPr>
          <w:b/>
          <w:bCs/>
          <w:rtl/>
          <w:lang w:eastAsia="zh-CN"/>
        </w:rPr>
        <w:footnoteReference w:id="3"/>
      </w:r>
      <w:r w:rsidRPr="00A079A0">
        <w:rPr>
          <w:rFonts w:hint="cs"/>
          <w:b/>
          <w:bCs/>
          <w:sz w:val="22"/>
          <w:szCs w:val="22"/>
          <w:rtl/>
          <w:lang w:eastAsia="zh-CN"/>
        </w:rPr>
        <w:t xml:space="preserve">) </w:t>
      </w:r>
      <w:r w:rsidR="00F94044">
        <w:rPr>
          <w:rFonts w:hint="cs"/>
          <w:b/>
          <w:bCs/>
          <w:sz w:val="22"/>
          <w:szCs w:val="22"/>
          <w:rtl/>
          <w:lang w:eastAsia="zh-CN"/>
        </w:rPr>
        <w:t>.</w:t>
      </w:r>
    </w:p>
    <w:p w:rsidR="00F94044" w:rsidRDefault="00F94044" w:rsidP="00F94044">
      <w:pPr>
        <w:pStyle w:val="BodyText"/>
        <w:spacing w:before="120" w:after="0" w:line="360" w:lineRule="auto"/>
        <w:ind w:firstLine="720"/>
        <w:jc w:val="lowKashida"/>
        <w:rPr>
          <w:rFonts w:hint="cs"/>
          <w:b/>
          <w:bCs/>
          <w:sz w:val="22"/>
          <w:szCs w:val="22"/>
          <w:rtl/>
          <w:lang w:eastAsia="zh-CN"/>
        </w:rPr>
      </w:pPr>
    </w:p>
    <w:p w:rsidR="00F94044" w:rsidRDefault="00F94044" w:rsidP="00F94044">
      <w:pPr>
        <w:spacing w:line="360" w:lineRule="auto"/>
        <w:rPr>
          <w:rFonts w:hint="cs"/>
          <w:b/>
          <w:bCs/>
          <w:u w:val="single"/>
          <w:rtl/>
          <w:lang w:eastAsia="zh-CN"/>
        </w:rPr>
      </w:pPr>
      <w:r w:rsidRPr="00F94044">
        <w:rPr>
          <w:rFonts w:hint="cs"/>
          <w:b/>
          <w:bCs/>
          <w:u w:val="single"/>
          <w:rtl/>
          <w:lang w:eastAsia="zh-CN"/>
        </w:rPr>
        <w:t>المصادر والمراجع</w:t>
      </w:r>
    </w:p>
    <w:p w:rsidR="00F94044" w:rsidRPr="00F94044" w:rsidRDefault="00F94044" w:rsidP="00F94044">
      <w:pPr>
        <w:spacing w:line="360" w:lineRule="auto"/>
        <w:rPr>
          <w:b/>
          <w:bCs/>
          <w:u w:val="single"/>
          <w:rtl/>
          <w:lang w:eastAsia="zh-CN"/>
        </w:rPr>
      </w:pPr>
    </w:p>
    <w:p w:rsidR="00F94044" w:rsidRDefault="00F94044" w:rsidP="00F94044">
      <w:pPr>
        <w:pStyle w:val="ListParagraph"/>
        <w:numPr>
          <w:ilvl w:val="0"/>
          <w:numId w:val="8"/>
        </w:numPr>
        <w:spacing w:line="360" w:lineRule="auto"/>
        <w:jc w:val="both"/>
        <w:rPr>
          <w:b/>
          <w:bCs/>
          <w:sz w:val="22"/>
          <w:szCs w:val="22"/>
          <w:lang w:eastAsia="zh-CN"/>
        </w:rPr>
      </w:pPr>
      <w:r w:rsidRPr="00595FA7">
        <w:rPr>
          <w:rFonts w:hint="cs"/>
          <w:b/>
          <w:bCs/>
          <w:sz w:val="22"/>
          <w:szCs w:val="22"/>
          <w:rtl/>
          <w:lang w:eastAsia="zh-CN"/>
        </w:rPr>
        <w:t>دلالة الألفاظ، إبراهيم أنيس، مكتبة الأنجلو المصرية، القاهرة، 2004م.</w:t>
      </w:r>
    </w:p>
    <w:p w:rsidR="00F94044" w:rsidRDefault="00F94044" w:rsidP="00F94044">
      <w:pPr>
        <w:pStyle w:val="ListParagraph"/>
        <w:numPr>
          <w:ilvl w:val="0"/>
          <w:numId w:val="8"/>
        </w:numPr>
        <w:spacing w:line="360" w:lineRule="auto"/>
        <w:jc w:val="both"/>
        <w:rPr>
          <w:b/>
          <w:bCs/>
          <w:sz w:val="22"/>
          <w:szCs w:val="22"/>
          <w:lang w:eastAsia="zh-CN"/>
        </w:rPr>
      </w:pPr>
      <w:r w:rsidRPr="00595FA7">
        <w:rPr>
          <w:rFonts w:hint="cs"/>
          <w:b/>
          <w:bCs/>
          <w:sz w:val="22"/>
          <w:szCs w:val="22"/>
          <w:rtl/>
          <w:lang w:eastAsia="zh-CN"/>
        </w:rPr>
        <w:t>دور الكلمة في اللغة، ستيفن أولمان، ترجمة: كمال بشر، مكتبة الشباب، القاهرة، 1992م.</w:t>
      </w:r>
    </w:p>
    <w:p w:rsidR="00F94044" w:rsidRDefault="00F94044" w:rsidP="00F94044">
      <w:pPr>
        <w:pStyle w:val="ListParagraph"/>
        <w:numPr>
          <w:ilvl w:val="0"/>
          <w:numId w:val="8"/>
        </w:numPr>
        <w:spacing w:line="360" w:lineRule="auto"/>
        <w:jc w:val="both"/>
        <w:rPr>
          <w:b/>
          <w:bCs/>
          <w:sz w:val="22"/>
          <w:szCs w:val="22"/>
          <w:lang w:eastAsia="zh-CN"/>
        </w:rPr>
      </w:pPr>
      <w:r w:rsidRPr="00595FA7">
        <w:rPr>
          <w:rFonts w:hint="cs"/>
          <w:b/>
          <w:bCs/>
          <w:sz w:val="22"/>
          <w:szCs w:val="22"/>
          <w:rtl/>
          <w:lang w:eastAsia="zh-CN"/>
        </w:rPr>
        <w:t>علم الدلالة، أحمد مختار عمر، عالم الكتب، القاهرة، ط6، 1427هـ/2006م.</w:t>
      </w:r>
    </w:p>
    <w:p w:rsidR="00F94044" w:rsidRPr="00F94044" w:rsidRDefault="00F94044" w:rsidP="00F94044">
      <w:pPr>
        <w:pStyle w:val="ListParagraph"/>
        <w:numPr>
          <w:ilvl w:val="0"/>
          <w:numId w:val="8"/>
        </w:numPr>
        <w:spacing w:line="360" w:lineRule="auto"/>
        <w:jc w:val="both"/>
        <w:rPr>
          <w:b/>
          <w:bCs/>
          <w:sz w:val="22"/>
          <w:szCs w:val="22"/>
          <w:lang w:eastAsia="zh-CN"/>
        </w:rPr>
      </w:pPr>
      <w:r w:rsidRPr="00F15031">
        <w:rPr>
          <w:rFonts w:hint="cs"/>
          <w:b/>
          <w:bCs/>
          <w:sz w:val="22"/>
          <w:szCs w:val="22"/>
          <w:rtl/>
          <w:lang w:eastAsia="zh-CN"/>
        </w:rPr>
        <w:t>علم الدلالة، بيير غيرو، ترجمة: منذر عياشي، دار طلاس، دمشق، سوريا، 1992م.</w:t>
      </w:r>
    </w:p>
    <w:p w:rsidR="00F94044" w:rsidRPr="00F15031" w:rsidRDefault="00F94044" w:rsidP="00F94044">
      <w:pPr>
        <w:pStyle w:val="ListParagraph"/>
        <w:numPr>
          <w:ilvl w:val="0"/>
          <w:numId w:val="8"/>
        </w:numPr>
        <w:spacing w:line="360" w:lineRule="auto"/>
        <w:jc w:val="both"/>
        <w:rPr>
          <w:b/>
          <w:bCs/>
          <w:sz w:val="22"/>
          <w:szCs w:val="22"/>
          <w:lang w:eastAsia="zh-CN"/>
        </w:rPr>
      </w:pPr>
      <w:r w:rsidRPr="00F15031">
        <w:rPr>
          <w:rFonts w:hint="cs"/>
          <w:b/>
          <w:bCs/>
          <w:sz w:val="22"/>
          <w:szCs w:val="22"/>
          <w:rtl/>
          <w:lang w:eastAsia="zh-CN"/>
        </w:rPr>
        <w:t>علم الدلالة العربي النظرية والتطبيق، دراسة تاريخية تأصيلية نقدية، فايز أحمد الداية، دار الفكر، دمشق، سوريا، ط2، 1417هـ/1996.</w:t>
      </w:r>
    </w:p>
    <w:p w:rsidR="00F94044" w:rsidRPr="00595FA7" w:rsidRDefault="00F94044" w:rsidP="00F94044">
      <w:pPr>
        <w:numPr>
          <w:ilvl w:val="0"/>
          <w:numId w:val="8"/>
        </w:numPr>
        <w:spacing w:line="360" w:lineRule="auto"/>
        <w:jc w:val="both"/>
        <w:rPr>
          <w:b/>
          <w:bCs/>
          <w:sz w:val="22"/>
          <w:szCs w:val="22"/>
          <w:lang w:eastAsia="zh-CN"/>
        </w:rPr>
      </w:pPr>
      <w:r w:rsidRPr="00595FA7">
        <w:rPr>
          <w:b/>
          <w:bCs/>
          <w:sz w:val="22"/>
          <w:szCs w:val="22"/>
          <w:rtl/>
          <w:lang w:eastAsia="zh-CN"/>
        </w:rPr>
        <w:t>علم اللغة</w:t>
      </w:r>
      <w:r w:rsidRPr="00595FA7">
        <w:rPr>
          <w:rFonts w:hint="cs"/>
          <w:b/>
          <w:bCs/>
          <w:sz w:val="22"/>
          <w:szCs w:val="22"/>
          <w:rtl/>
          <w:lang w:eastAsia="zh-CN"/>
        </w:rPr>
        <w:t xml:space="preserve"> مقدمة للقارئ العربي، محمود السعران، دار النهضة العربية، بيروت، لبنان.</w:t>
      </w:r>
    </w:p>
    <w:p w:rsidR="00F94044" w:rsidRPr="00595FA7" w:rsidRDefault="00F94044" w:rsidP="00F94044">
      <w:pPr>
        <w:pStyle w:val="Style2"/>
        <w:numPr>
          <w:ilvl w:val="0"/>
          <w:numId w:val="8"/>
        </w:numPr>
        <w:spacing w:line="360" w:lineRule="auto"/>
        <w:jc w:val="both"/>
        <w:rPr>
          <w:rFonts w:cs="Times New Roman"/>
          <w:b/>
          <w:bCs/>
          <w:sz w:val="22"/>
          <w:szCs w:val="22"/>
          <w:lang w:eastAsia="zh-CN"/>
        </w:rPr>
      </w:pPr>
      <w:r w:rsidRPr="00595FA7">
        <w:rPr>
          <w:rFonts w:cs="Times New Roman" w:hint="cs"/>
          <w:b/>
          <w:bCs/>
          <w:sz w:val="22"/>
          <w:szCs w:val="22"/>
          <w:rtl/>
          <w:lang w:eastAsia="zh-CN"/>
        </w:rPr>
        <w:lastRenderedPageBreak/>
        <w:t>اللسانيات وأسسها المعرفية، عبد السلام المسدي، الدار التونسية للنشر، تونس، 1986م.</w:t>
      </w:r>
    </w:p>
    <w:p w:rsidR="00F94044" w:rsidRPr="00E932F4" w:rsidRDefault="00F94044" w:rsidP="00F94044">
      <w:pPr>
        <w:numPr>
          <w:ilvl w:val="0"/>
          <w:numId w:val="8"/>
        </w:numPr>
        <w:spacing w:line="360" w:lineRule="auto"/>
        <w:jc w:val="both"/>
        <w:rPr>
          <w:b/>
          <w:bCs/>
          <w:sz w:val="22"/>
          <w:szCs w:val="22"/>
          <w:lang w:eastAsia="zh-CN"/>
        </w:rPr>
      </w:pPr>
      <w:r w:rsidRPr="00E932F4">
        <w:rPr>
          <w:rFonts w:hint="cs"/>
          <w:b/>
          <w:bCs/>
          <w:sz w:val="22"/>
          <w:szCs w:val="22"/>
          <w:rtl/>
          <w:lang w:eastAsia="zh-CN"/>
        </w:rPr>
        <w:t>نظرية التأويل- الخطاب وفائض المعنى، بول ريكور، ترجمة: سعيد الغانمي، المركز الثقافي العربي، المغرب، 2003، صـ85.</w:t>
      </w:r>
    </w:p>
    <w:p w:rsidR="00F94044" w:rsidRPr="00A079A0" w:rsidRDefault="00F94044" w:rsidP="00F94044">
      <w:pPr>
        <w:pStyle w:val="FootnoteText"/>
        <w:widowControl w:val="0"/>
        <w:autoSpaceDE w:val="0"/>
        <w:autoSpaceDN w:val="0"/>
        <w:adjustRightInd w:val="0"/>
        <w:spacing w:line="360" w:lineRule="auto"/>
        <w:rPr>
          <w:b/>
          <w:bCs/>
          <w:sz w:val="22"/>
          <w:szCs w:val="22"/>
          <w:lang w:eastAsia="zh-CN" w:bidi="ar-SA"/>
        </w:rPr>
      </w:pPr>
    </w:p>
    <w:p w:rsidR="005C61A2" w:rsidRPr="00A079A0" w:rsidRDefault="005C61A2" w:rsidP="00595FA7">
      <w:pPr>
        <w:pStyle w:val="FootnoteText"/>
        <w:widowControl w:val="0"/>
        <w:autoSpaceDE w:val="0"/>
        <w:autoSpaceDN w:val="0"/>
        <w:adjustRightInd w:val="0"/>
        <w:spacing w:line="360" w:lineRule="auto"/>
        <w:rPr>
          <w:b/>
          <w:bCs/>
          <w:sz w:val="22"/>
          <w:szCs w:val="22"/>
          <w:lang w:eastAsia="zh-CN" w:bidi="ar-SA"/>
        </w:rPr>
      </w:pPr>
    </w:p>
    <w:sectPr w:rsidR="005C61A2" w:rsidRPr="00A079A0" w:rsidSect="00623CEB">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1BB" w:rsidRDefault="000B41BB" w:rsidP="004B3A23">
      <w:r>
        <w:separator/>
      </w:r>
    </w:p>
  </w:endnote>
  <w:endnote w:type="continuationSeparator" w:id="0">
    <w:p w:rsidR="000B41BB" w:rsidRDefault="000B41BB" w:rsidP="004B3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1BB" w:rsidRDefault="000B41BB" w:rsidP="004B3A23">
      <w:r>
        <w:separator/>
      </w:r>
    </w:p>
  </w:footnote>
  <w:footnote w:type="continuationSeparator" w:id="0">
    <w:p w:rsidR="000B41BB" w:rsidRDefault="000B41BB" w:rsidP="004B3A23">
      <w:r>
        <w:continuationSeparator/>
      </w:r>
    </w:p>
  </w:footnote>
  <w:footnote w:id="1">
    <w:p w:rsidR="009D126E" w:rsidRPr="00A079A0" w:rsidRDefault="009D126E" w:rsidP="00A079A0">
      <w:pPr>
        <w:pStyle w:val="Heading1"/>
        <w:spacing w:before="120" w:after="0" w:line="264" w:lineRule="auto"/>
        <w:ind w:firstLine="720"/>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Pr="00A079A0">
        <w:rPr>
          <w:rFonts w:ascii="Times New Roman" w:hAnsi="Times New Roman" w:cs="Times New Roman" w:hint="cs"/>
          <w:kern w:val="0"/>
          <w:sz w:val="22"/>
          <w:szCs w:val="22"/>
          <w:rtl/>
          <w:lang w:eastAsia="zh-CN"/>
        </w:rPr>
        <w:t>أنظر: علم الدلالة، غيرو، 80، 81.</w:t>
      </w:r>
    </w:p>
  </w:footnote>
  <w:footnote w:id="2">
    <w:p w:rsidR="009D126E" w:rsidRPr="00A079A0" w:rsidRDefault="009D126E" w:rsidP="00A079A0">
      <w:pPr>
        <w:pStyle w:val="Heading1"/>
        <w:spacing w:before="120" w:after="0" w:line="264" w:lineRule="auto"/>
        <w:ind w:firstLine="720"/>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Pr="00A079A0">
        <w:rPr>
          <w:rFonts w:ascii="Times New Roman" w:hAnsi="Times New Roman" w:cs="Times New Roman" w:hint="cs"/>
          <w:kern w:val="0"/>
          <w:sz w:val="22"/>
          <w:szCs w:val="22"/>
          <w:rtl/>
          <w:lang w:eastAsia="zh-CN"/>
        </w:rPr>
        <w:t>علم الدلالة العربي، فايز الداية، 381.</w:t>
      </w:r>
    </w:p>
  </w:footnote>
  <w:footnote w:id="3">
    <w:p w:rsidR="009D126E" w:rsidRPr="00A079A0" w:rsidRDefault="009D126E" w:rsidP="00A079A0">
      <w:pPr>
        <w:pStyle w:val="Heading1"/>
        <w:spacing w:before="120" w:after="0" w:line="264" w:lineRule="auto"/>
        <w:jc w:val="lowKashida"/>
        <w:rPr>
          <w:rFonts w:ascii="Times New Roman" w:hAnsi="Times New Roman" w:cs="Times New Roman"/>
          <w:kern w:val="0"/>
          <w:sz w:val="22"/>
          <w:szCs w:val="22"/>
          <w:rtl/>
          <w:lang w:eastAsia="zh-CN"/>
        </w:rPr>
      </w:pP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lang w:eastAsia="zh-CN"/>
        </w:rPr>
        <w:footnoteRef/>
      </w:r>
      <w:r w:rsidRPr="00A079A0">
        <w:rPr>
          <w:rFonts w:ascii="Times New Roman" w:hAnsi="Times New Roman" w:cs="Times New Roman" w:hint="cs"/>
          <w:kern w:val="0"/>
          <w:sz w:val="22"/>
          <w:szCs w:val="22"/>
          <w:rtl/>
          <w:lang w:eastAsia="zh-CN"/>
        </w:rPr>
        <w:t>)</w:t>
      </w:r>
      <w:r w:rsidRPr="00A079A0">
        <w:rPr>
          <w:rFonts w:ascii="Times New Roman" w:hAnsi="Times New Roman" w:cs="Times New Roman"/>
          <w:kern w:val="0"/>
          <w:sz w:val="22"/>
          <w:szCs w:val="22"/>
          <w:rtl/>
          <w:cs/>
          <w:lang w:eastAsia="zh-CN"/>
        </w:rPr>
        <w:t xml:space="preserve"> </w:t>
      </w:r>
      <w:r w:rsidRPr="00A079A0">
        <w:rPr>
          <w:rFonts w:ascii="Times New Roman" w:hAnsi="Times New Roman" w:cs="Times New Roman" w:hint="cs"/>
          <w:kern w:val="0"/>
          <w:sz w:val="22"/>
          <w:szCs w:val="22"/>
          <w:rtl/>
          <w:lang w:eastAsia="zh-CN"/>
        </w:rPr>
        <w:t>انظر: علم الدلالة، غيرو، 85. وعلم الدلالة العربي، فايز الداية، 382.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0CAC"/>
    <w:multiLevelType w:val="hybridMultilevel"/>
    <w:tmpl w:val="BA26BBE2"/>
    <w:lvl w:ilvl="0" w:tplc="9956147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51A2C"/>
    <w:multiLevelType w:val="hybridMultilevel"/>
    <w:tmpl w:val="527A9654"/>
    <w:lvl w:ilvl="0" w:tplc="E0768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C79A7"/>
    <w:multiLevelType w:val="hybridMultilevel"/>
    <w:tmpl w:val="B494FDFC"/>
    <w:lvl w:ilvl="0" w:tplc="8C9A6720">
      <w:start w:val="1"/>
      <w:numFmt w:val="upperRoman"/>
      <w:lvlText w:val="%1."/>
      <w:lvlJc w:val="left"/>
      <w:pPr>
        <w:ind w:left="2745" w:hanging="72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nsid w:val="23523C57"/>
    <w:multiLevelType w:val="hybridMultilevel"/>
    <w:tmpl w:val="74A457FC"/>
    <w:lvl w:ilvl="0" w:tplc="B75CB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D00AD"/>
    <w:multiLevelType w:val="hybridMultilevel"/>
    <w:tmpl w:val="5EAA2958"/>
    <w:lvl w:ilvl="0" w:tplc="47D29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2753D"/>
    <w:multiLevelType w:val="hybridMultilevel"/>
    <w:tmpl w:val="A2807B14"/>
    <w:lvl w:ilvl="0" w:tplc="B4803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953787"/>
    <w:multiLevelType w:val="hybridMultilevel"/>
    <w:tmpl w:val="D5A23D5C"/>
    <w:lvl w:ilvl="0" w:tplc="6BD423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8372136"/>
    <w:multiLevelType w:val="multilevel"/>
    <w:tmpl w:val="750CA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B3A23"/>
    <w:rsid w:val="000720FF"/>
    <w:rsid w:val="000B2D00"/>
    <w:rsid w:val="000B41BB"/>
    <w:rsid w:val="000F2ECD"/>
    <w:rsid w:val="00142A89"/>
    <w:rsid w:val="001543BB"/>
    <w:rsid w:val="001B6168"/>
    <w:rsid w:val="001D2450"/>
    <w:rsid w:val="00242A76"/>
    <w:rsid w:val="00246F4F"/>
    <w:rsid w:val="002A4685"/>
    <w:rsid w:val="002D32AF"/>
    <w:rsid w:val="0036688B"/>
    <w:rsid w:val="003F3B6A"/>
    <w:rsid w:val="00476FF1"/>
    <w:rsid w:val="0049019F"/>
    <w:rsid w:val="004B3A23"/>
    <w:rsid w:val="004E5172"/>
    <w:rsid w:val="005343E2"/>
    <w:rsid w:val="005405C8"/>
    <w:rsid w:val="00595FA7"/>
    <w:rsid w:val="005C2C29"/>
    <w:rsid w:val="005C4EA9"/>
    <w:rsid w:val="005C61A2"/>
    <w:rsid w:val="005F68C1"/>
    <w:rsid w:val="00623CEB"/>
    <w:rsid w:val="00735D3E"/>
    <w:rsid w:val="007843A1"/>
    <w:rsid w:val="007B7509"/>
    <w:rsid w:val="008A4F66"/>
    <w:rsid w:val="00943D74"/>
    <w:rsid w:val="00972672"/>
    <w:rsid w:val="009D126E"/>
    <w:rsid w:val="00A079A0"/>
    <w:rsid w:val="00B620AA"/>
    <w:rsid w:val="00C00A15"/>
    <w:rsid w:val="00D3789B"/>
    <w:rsid w:val="00D91866"/>
    <w:rsid w:val="00DA4FC4"/>
    <w:rsid w:val="00E33E85"/>
    <w:rsid w:val="00E932F4"/>
    <w:rsid w:val="00ED26A1"/>
    <w:rsid w:val="00F15031"/>
    <w:rsid w:val="00F94044"/>
    <w:rsid w:val="00FA72FA"/>
    <w:rsid w:val="00FB28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23"/>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12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B3A23"/>
    <w:rPr>
      <w:sz w:val="20"/>
      <w:szCs w:val="20"/>
      <w:lang w:bidi="hi-IN"/>
    </w:rPr>
  </w:style>
  <w:style w:type="character" w:customStyle="1" w:styleId="FootnoteTextChar">
    <w:name w:val="Footnote Text Char"/>
    <w:basedOn w:val="DefaultParagraphFont"/>
    <w:link w:val="FootnoteText"/>
    <w:semiHidden/>
    <w:rsid w:val="004B3A23"/>
    <w:rPr>
      <w:rFonts w:ascii="Times New Roman" w:eastAsia="Times New Roman" w:hAnsi="Times New Roman" w:cs="Times New Roman"/>
      <w:sz w:val="20"/>
      <w:szCs w:val="20"/>
      <w:lang w:bidi="hi-IN"/>
    </w:rPr>
  </w:style>
  <w:style w:type="character" w:styleId="FootnoteReference">
    <w:name w:val="footnote reference"/>
    <w:basedOn w:val="DefaultParagraphFont"/>
    <w:semiHidden/>
    <w:rsid w:val="004B3A23"/>
    <w:rPr>
      <w:vertAlign w:val="superscript"/>
    </w:rPr>
  </w:style>
  <w:style w:type="paragraph" w:customStyle="1" w:styleId="Affiliation">
    <w:name w:val="Affiliation"/>
    <w:rsid w:val="004B3A2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B3A23"/>
    <w:pPr>
      <w:suppressAutoHyphens/>
      <w:spacing w:before="360" w:after="40" w:line="240" w:lineRule="auto"/>
      <w:jc w:val="center"/>
    </w:pPr>
    <w:rPr>
      <w:rFonts w:ascii="Times New Roman" w:eastAsia="SimSun" w:hAnsi="Times New Roman" w:cs="Times New Roman"/>
    </w:rPr>
  </w:style>
  <w:style w:type="character" w:styleId="Hyperlink">
    <w:name w:val="Hyperlink"/>
    <w:basedOn w:val="DefaultParagraphFont"/>
    <w:uiPriority w:val="99"/>
    <w:unhideWhenUsed/>
    <w:rsid w:val="00623CEB"/>
    <w:rPr>
      <w:color w:val="0000FF" w:themeColor="hyperlink"/>
      <w:u w:val="single"/>
    </w:rPr>
  </w:style>
  <w:style w:type="paragraph" w:styleId="ListParagraph">
    <w:name w:val="List Paragraph"/>
    <w:basedOn w:val="Normal"/>
    <w:uiPriority w:val="34"/>
    <w:qFormat/>
    <w:rsid w:val="0036688B"/>
    <w:pPr>
      <w:ind w:left="720"/>
      <w:contextualSpacing/>
    </w:pPr>
  </w:style>
  <w:style w:type="paragraph" w:customStyle="1" w:styleId="references">
    <w:name w:val="references"/>
    <w:rsid w:val="00E33E85"/>
    <w:pPr>
      <w:suppressAutoHyphens/>
      <w:spacing w:after="50" w:line="180" w:lineRule="atLeast"/>
      <w:jc w:val="both"/>
    </w:pPr>
    <w:rPr>
      <w:rFonts w:ascii="Times New Roman" w:eastAsia="MS Mincho" w:hAnsi="Times New Roman" w:cs="Times New Roman"/>
      <w:sz w:val="18"/>
      <w:szCs w:val="16"/>
    </w:rPr>
  </w:style>
  <w:style w:type="character" w:customStyle="1" w:styleId="Heading1Char">
    <w:name w:val="Heading 1 Char"/>
    <w:basedOn w:val="DefaultParagraphFont"/>
    <w:link w:val="Heading1"/>
    <w:rsid w:val="009D126E"/>
    <w:rPr>
      <w:rFonts w:ascii="Arial" w:eastAsia="Times New Roman" w:hAnsi="Arial" w:cs="Arial"/>
      <w:b/>
      <w:bCs/>
      <w:kern w:val="32"/>
      <w:sz w:val="32"/>
      <w:szCs w:val="32"/>
    </w:rPr>
  </w:style>
  <w:style w:type="paragraph" w:styleId="BodyText">
    <w:name w:val="Body Text"/>
    <w:basedOn w:val="Normal"/>
    <w:link w:val="BodyTextChar"/>
    <w:rsid w:val="009D126E"/>
    <w:pPr>
      <w:spacing w:after="120"/>
    </w:pPr>
  </w:style>
  <w:style w:type="character" w:customStyle="1" w:styleId="BodyTextChar">
    <w:name w:val="Body Text Char"/>
    <w:basedOn w:val="DefaultParagraphFont"/>
    <w:link w:val="BodyText"/>
    <w:rsid w:val="009D126E"/>
    <w:rPr>
      <w:rFonts w:ascii="Times New Roman" w:eastAsia="Times New Roman" w:hAnsi="Times New Roman" w:cs="Times New Roman"/>
      <w:sz w:val="24"/>
      <w:szCs w:val="24"/>
    </w:rPr>
  </w:style>
  <w:style w:type="character" w:customStyle="1" w:styleId="Style1Char">
    <w:name w:val="Style1 Char"/>
    <w:link w:val="Style1"/>
    <w:locked/>
    <w:rsid w:val="0049019F"/>
    <w:rPr>
      <w:rFonts w:ascii="Arial Black" w:hAnsi="Arial Black" w:cs="Simplified Arabic"/>
      <w:b/>
      <w:bCs/>
      <w:sz w:val="26"/>
      <w:szCs w:val="26"/>
      <w:vertAlign w:val="superscript"/>
    </w:rPr>
  </w:style>
  <w:style w:type="paragraph" w:customStyle="1" w:styleId="Style1">
    <w:name w:val="Style1"/>
    <w:basedOn w:val="Normal"/>
    <w:link w:val="Style1Char"/>
    <w:rsid w:val="0049019F"/>
    <w:pPr>
      <w:ind w:left="96" w:firstLine="542"/>
      <w:jc w:val="lowKashida"/>
    </w:pPr>
    <w:rPr>
      <w:rFonts w:ascii="Arial Black" w:eastAsiaTheme="minorHAnsi" w:hAnsi="Arial Black" w:cs="Simplified Arabic"/>
      <w:b/>
      <w:bCs/>
      <w:sz w:val="26"/>
      <w:szCs w:val="26"/>
      <w:vertAlign w:val="superscript"/>
    </w:rPr>
  </w:style>
  <w:style w:type="paragraph" w:customStyle="1" w:styleId="Style2">
    <w:name w:val="Style2"/>
    <w:basedOn w:val="FootnoteText"/>
    <w:link w:val="Style2Char"/>
    <w:rsid w:val="00FA72FA"/>
    <w:rPr>
      <w:rFonts w:cs="Simplified Arabic"/>
      <w:szCs w:val="24"/>
      <w:lang w:bidi="ar-SA"/>
    </w:rPr>
  </w:style>
  <w:style w:type="character" w:customStyle="1" w:styleId="Style2Char">
    <w:name w:val="Style2 Char"/>
    <w:link w:val="Style2"/>
    <w:rsid w:val="00FA72FA"/>
    <w:rPr>
      <w:rFonts w:ascii="Times New Roman" w:eastAsia="Times New Roman" w:hAnsi="Times New Roman" w:cs="Simplified Arabic"/>
      <w:sz w:val="20"/>
      <w:szCs w:val="24"/>
    </w:rPr>
  </w:style>
</w:styles>
</file>

<file path=word/webSettings.xml><?xml version="1.0" encoding="utf-8"?>
<w:webSettings xmlns:r="http://schemas.openxmlformats.org/officeDocument/2006/relationships" xmlns:w="http://schemas.openxmlformats.org/wordprocessingml/2006/main">
  <w:divs>
    <w:div w:id="13010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l.anwer@medi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7A65B-7382-4027-8ECF-02F85FA2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15</cp:revision>
  <dcterms:created xsi:type="dcterms:W3CDTF">2013-05-15T15:15:00Z</dcterms:created>
  <dcterms:modified xsi:type="dcterms:W3CDTF">2013-06-01T11:56:00Z</dcterms:modified>
</cp:coreProperties>
</file>