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37" w:rsidRPr="00670D37" w:rsidRDefault="00670D37" w:rsidP="00670D37">
      <w:pPr>
        <w:spacing w:before="60"/>
        <w:jc w:val="center"/>
        <w:rPr>
          <w:rFonts w:asciiTheme="majorBidi" w:eastAsia="Calibri" w:hAnsiTheme="majorBidi" w:cstheme="majorBidi"/>
          <w:i/>
          <w:iCs/>
          <w:sz w:val="48"/>
          <w:szCs w:val="48"/>
          <w:rtl/>
        </w:rPr>
      </w:pPr>
      <w:r w:rsidRPr="00670D37">
        <w:rPr>
          <w:rFonts w:asciiTheme="majorBidi" w:eastAsia="Calibri" w:hAnsiTheme="majorBidi" w:cstheme="majorBidi"/>
          <w:i/>
          <w:iCs/>
          <w:sz w:val="48"/>
          <w:szCs w:val="48"/>
          <w:rtl/>
        </w:rPr>
        <w:t>صدق دعوة الأنبياء، وبيان أن إنكار الرسالة طعن في الرب سبحانه</w:t>
      </w:r>
    </w:p>
    <w:p w:rsidR="00670D37" w:rsidRPr="00670D37" w:rsidRDefault="00670D37" w:rsidP="00670D37">
      <w:pPr>
        <w:spacing w:before="60"/>
        <w:jc w:val="center"/>
        <w:rPr>
          <w:rFonts w:asciiTheme="majorBidi" w:eastAsia="Calibri" w:hAnsiTheme="majorBidi" w:cstheme="majorBidi"/>
          <w:i/>
          <w:iCs/>
          <w:sz w:val="28"/>
          <w:szCs w:val="28"/>
          <w:rtl/>
        </w:rPr>
      </w:pPr>
      <w:r w:rsidRPr="00670D37">
        <w:rPr>
          <w:rFonts w:asciiTheme="majorBidi" w:hAnsiTheme="majorBidi" w:cstheme="majorBidi"/>
          <w:i/>
          <w:iCs/>
          <w:sz w:val="28"/>
          <w:szCs w:val="28"/>
          <w:rtl/>
        </w:rPr>
        <w:t>بحث في التفسير الموض</w:t>
      </w:r>
      <w:r w:rsidR="004675E4">
        <w:rPr>
          <w:rFonts w:asciiTheme="majorBidi" w:hAnsiTheme="majorBidi" w:cstheme="majorBidi" w:hint="cs"/>
          <w:i/>
          <w:iCs/>
          <w:sz w:val="28"/>
          <w:szCs w:val="28"/>
          <w:rtl/>
        </w:rPr>
        <w:t>و</w:t>
      </w:r>
      <w:r w:rsidRPr="00670D37">
        <w:rPr>
          <w:rFonts w:asciiTheme="majorBidi" w:hAnsiTheme="majorBidi" w:cstheme="majorBidi"/>
          <w:i/>
          <w:iCs/>
          <w:sz w:val="28"/>
          <w:szCs w:val="28"/>
          <w:rtl/>
        </w:rPr>
        <w:t>عي</w:t>
      </w:r>
    </w:p>
    <w:p w:rsidR="00670D37" w:rsidRPr="00670D37" w:rsidRDefault="00670D37" w:rsidP="00762FFF">
      <w:pPr>
        <w:jc w:val="center"/>
        <w:rPr>
          <w:rFonts w:asciiTheme="majorBidi" w:hAnsiTheme="majorBidi" w:cstheme="majorBidi"/>
          <w:b/>
          <w:bCs/>
          <w:sz w:val="22"/>
          <w:szCs w:val="22"/>
          <w:lang w:bidi="ar-EG"/>
        </w:rPr>
      </w:pPr>
      <w:r w:rsidRPr="00670D37">
        <w:rPr>
          <w:rFonts w:asciiTheme="majorBidi" w:hAnsiTheme="majorBidi" w:cstheme="majorBidi"/>
          <w:b/>
          <w:bCs/>
          <w:sz w:val="22"/>
          <w:szCs w:val="22"/>
          <w:rtl/>
        </w:rPr>
        <w:t xml:space="preserve">إعداد أ/ </w:t>
      </w:r>
      <w:r w:rsidR="00762FFF" w:rsidRPr="00762FFF">
        <w:rPr>
          <w:rFonts w:asciiTheme="majorBidi" w:hAnsiTheme="majorBidi" w:cs="Arial" w:hint="cs"/>
          <w:b/>
          <w:bCs/>
          <w:sz w:val="22"/>
          <w:szCs w:val="22"/>
          <w:rtl/>
          <w:lang w:bidi="ar-EG"/>
        </w:rPr>
        <w:t>فاطمة</w:t>
      </w:r>
      <w:r w:rsidR="00762FFF" w:rsidRPr="00762FFF">
        <w:rPr>
          <w:rFonts w:asciiTheme="majorBidi" w:hAnsiTheme="majorBidi" w:cs="Arial"/>
          <w:b/>
          <w:bCs/>
          <w:sz w:val="22"/>
          <w:szCs w:val="22"/>
          <w:rtl/>
          <w:lang w:bidi="ar-EG"/>
        </w:rPr>
        <w:t xml:space="preserve"> </w:t>
      </w:r>
      <w:r w:rsidR="00762FFF" w:rsidRPr="00762FFF">
        <w:rPr>
          <w:rFonts w:asciiTheme="majorBidi" w:hAnsiTheme="majorBidi" w:cs="Arial" w:hint="cs"/>
          <w:b/>
          <w:bCs/>
          <w:sz w:val="22"/>
          <w:szCs w:val="22"/>
          <w:rtl/>
          <w:lang w:bidi="ar-EG"/>
        </w:rPr>
        <w:t>السيد</w:t>
      </w:r>
      <w:r w:rsidR="00762FFF" w:rsidRPr="00762FFF">
        <w:rPr>
          <w:rFonts w:asciiTheme="majorBidi" w:hAnsiTheme="majorBidi" w:cs="Arial"/>
          <w:b/>
          <w:bCs/>
          <w:sz w:val="22"/>
          <w:szCs w:val="22"/>
          <w:rtl/>
          <w:lang w:bidi="ar-EG"/>
        </w:rPr>
        <w:t xml:space="preserve"> </w:t>
      </w:r>
      <w:r w:rsidR="00762FFF" w:rsidRPr="00762FFF">
        <w:rPr>
          <w:rFonts w:asciiTheme="majorBidi" w:hAnsiTheme="majorBidi" w:cs="Arial" w:hint="cs"/>
          <w:b/>
          <w:bCs/>
          <w:sz w:val="22"/>
          <w:szCs w:val="22"/>
          <w:rtl/>
          <w:lang w:bidi="ar-EG"/>
        </w:rPr>
        <w:t>العشرى</w:t>
      </w:r>
    </w:p>
    <w:p w:rsidR="00670D37" w:rsidRPr="00670D37" w:rsidRDefault="00670D37" w:rsidP="00670D37">
      <w:pPr>
        <w:jc w:val="center"/>
        <w:rPr>
          <w:rFonts w:asciiTheme="majorBidi" w:hAnsiTheme="majorBidi" w:cstheme="majorBidi"/>
          <w:i/>
          <w:iCs/>
          <w:sz w:val="20"/>
          <w:szCs w:val="20"/>
        </w:rPr>
      </w:pPr>
      <w:r w:rsidRPr="00670D37">
        <w:rPr>
          <w:rFonts w:asciiTheme="majorBidi" w:hAnsiTheme="majorBidi" w:cstheme="majorBidi"/>
          <w:i/>
          <w:iCs/>
          <w:sz w:val="20"/>
          <w:szCs w:val="20"/>
          <w:rtl/>
        </w:rPr>
        <w:t>قسم الدعوة وأصول الدين</w:t>
      </w:r>
    </w:p>
    <w:p w:rsidR="00670D37" w:rsidRPr="00670D37" w:rsidRDefault="00670D37" w:rsidP="00670D37">
      <w:pPr>
        <w:jc w:val="center"/>
        <w:rPr>
          <w:rFonts w:asciiTheme="majorBidi" w:hAnsiTheme="majorBidi" w:cstheme="majorBidi"/>
          <w:i/>
          <w:iCs/>
          <w:sz w:val="20"/>
          <w:szCs w:val="20"/>
        </w:rPr>
      </w:pPr>
      <w:r w:rsidRPr="00670D37">
        <w:rPr>
          <w:rFonts w:asciiTheme="majorBidi" w:hAnsiTheme="majorBidi" w:cstheme="majorBidi"/>
          <w:i/>
          <w:iCs/>
          <w:sz w:val="20"/>
          <w:szCs w:val="20"/>
          <w:rtl/>
        </w:rPr>
        <w:t>كلية العلوم الإسلامية – جامعة المدينة العالمية</w:t>
      </w:r>
    </w:p>
    <w:p w:rsidR="00670D37" w:rsidRPr="00670D37" w:rsidRDefault="00670D37" w:rsidP="00670D37">
      <w:pPr>
        <w:jc w:val="center"/>
        <w:rPr>
          <w:rFonts w:asciiTheme="majorBidi" w:hAnsiTheme="majorBidi" w:cstheme="majorBidi"/>
          <w:i/>
          <w:iCs/>
          <w:sz w:val="20"/>
          <w:szCs w:val="20"/>
          <w:rtl/>
        </w:rPr>
      </w:pPr>
      <w:r w:rsidRPr="00670D37">
        <w:rPr>
          <w:rFonts w:asciiTheme="majorBidi" w:hAnsiTheme="majorBidi" w:cstheme="majorBidi"/>
          <w:i/>
          <w:iCs/>
          <w:sz w:val="20"/>
          <w:szCs w:val="20"/>
          <w:rtl/>
        </w:rPr>
        <w:t>شاه علم – ماليزيا</w:t>
      </w:r>
    </w:p>
    <w:p w:rsidR="00670D37" w:rsidRPr="00670D37" w:rsidRDefault="00762FFF" w:rsidP="00762FFF">
      <w:pPr>
        <w:jc w:val="center"/>
        <w:rPr>
          <w:rFonts w:asciiTheme="majorBidi" w:hAnsiTheme="majorBidi" w:cstheme="majorBidi"/>
          <w:i/>
          <w:iCs/>
          <w:sz w:val="20"/>
          <w:szCs w:val="20"/>
          <w:rtl/>
        </w:rPr>
      </w:pPr>
      <w:r w:rsidRPr="00762FFF">
        <w:rPr>
          <w:rFonts w:asciiTheme="majorBidi" w:hAnsiTheme="majorBidi" w:cstheme="majorBidi"/>
          <w:i/>
          <w:iCs/>
          <w:sz w:val="20"/>
          <w:szCs w:val="20"/>
          <w:lang w:bidi="ar-EG"/>
        </w:rPr>
        <w:t>fatma.alsayed@mediu.ws</w:t>
      </w:r>
    </w:p>
    <w:p w:rsidR="00670D37" w:rsidRPr="00670D37" w:rsidRDefault="00670D37" w:rsidP="00670D37">
      <w:pPr>
        <w:jc w:val="center"/>
        <w:rPr>
          <w:rFonts w:asciiTheme="majorBidi" w:hAnsiTheme="majorBidi" w:cstheme="majorBidi"/>
          <w:i/>
          <w:iCs/>
          <w:sz w:val="20"/>
          <w:szCs w:val="20"/>
          <w:rtl/>
        </w:rPr>
      </w:pPr>
    </w:p>
    <w:p w:rsidR="00670D37" w:rsidRPr="00670D37" w:rsidRDefault="00670D37" w:rsidP="00670D37">
      <w:pPr>
        <w:spacing w:before="60"/>
        <w:jc w:val="lowKashida"/>
        <w:rPr>
          <w:rFonts w:asciiTheme="majorBidi" w:hAnsiTheme="majorBidi" w:cstheme="majorBidi"/>
          <w:b/>
          <w:bCs/>
          <w:sz w:val="18"/>
          <w:szCs w:val="18"/>
          <w:rtl/>
        </w:rPr>
        <w:sectPr w:rsidR="00670D37" w:rsidRPr="00670D37" w:rsidSect="00BF7572">
          <w:pgSz w:w="11906" w:h="16838"/>
          <w:pgMar w:top="964" w:right="1021" w:bottom="964" w:left="1021" w:header="709" w:footer="709" w:gutter="0"/>
          <w:cols w:space="708"/>
          <w:bidi/>
          <w:rtlGutter/>
          <w:docGrid w:linePitch="360"/>
        </w:sectPr>
      </w:pPr>
    </w:p>
    <w:p w:rsidR="00670D37" w:rsidRPr="004675E4" w:rsidRDefault="00670D37" w:rsidP="004675E4">
      <w:pPr>
        <w:spacing w:before="60"/>
        <w:jc w:val="lowKashida"/>
        <w:rPr>
          <w:rFonts w:asciiTheme="majorBidi" w:eastAsia="Calibri" w:hAnsiTheme="majorBidi" w:cstheme="majorBidi"/>
          <w:b/>
          <w:bCs/>
          <w:color w:val="4F81BD"/>
          <w:sz w:val="18"/>
          <w:szCs w:val="18"/>
          <w:rtl/>
        </w:rPr>
      </w:pPr>
      <w:r w:rsidRPr="004675E4">
        <w:rPr>
          <w:rFonts w:asciiTheme="majorBidi" w:hAnsiTheme="majorBidi" w:cstheme="majorBidi"/>
          <w:b/>
          <w:bCs/>
          <w:sz w:val="18"/>
          <w:szCs w:val="18"/>
          <w:rtl/>
        </w:rPr>
        <w:lastRenderedPageBreak/>
        <w:t xml:space="preserve">خلاصة  -- هذا البحث يبحث في </w:t>
      </w:r>
      <w:r w:rsidRPr="004675E4">
        <w:rPr>
          <w:rFonts w:asciiTheme="majorBidi" w:eastAsia="Calibri" w:hAnsiTheme="majorBidi" w:cstheme="majorBidi"/>
          <w:b/>
          <w:bCs/>
          <w:sz w:val="18"/>
          <w:szCs w:val="18"/>
          <w:rtl/>
        </w:rPr>
        <w:t>صدق دعوة الأنبياء، وبيان أن إنكار الرسالة طعن في الرب سبحانه</w:t>
      </w:r>
    </w:p>
    <w:p w:rsidR="00670D37" w:rsidRPr="004675E4" w:rsidRDefault="00670D37" w:rsidP="004675E4">
      <w:pPr>
        <w:spacing w:before="60"/>
        <w:jc w:val="lowKashida"/>
        <w:rPr>
          <w:rFonts w:asciiTheme="majorBidi" w:eastAsia="Calibri" w:hAnsiTheme="majorBidi" w:cstheme="majorBidi"/>
          <w:b/>
          <w:bCs/>
          <w:color w:val="4F81BD"/>
          <w:sz w:val="18"/>
          <w:szCs w:val="18"/>
          <w:rtl/>
        </w:rPr>
      </w:pPr>
      <w:r w:rsidRPr="004675E4">
        <w:rPr>
          <w:rFonts w:asciiTheme="majorBidi" w:hAnsiTheme="majorBidi" w:cstheme="majorBidi"/>
          <w:b/>
          <w:bCs/>
          <w:sz w:val="18"/>
          <w:szCs w:val="18"/>
          <w:rtl/>
        </w:rPr>
        <w:t>الكلمات المفتاحية</w:t>
      </w:r>
      <w:r w:rsidRPr="004675E4">
        <w:rPr>
          <w:rFonts w:asciiTheme="majorBidi" w:eastAsia="Calibri" w:hAnsiTheme="majorBidi" w:cstheme="majorBidi"/>
          <w:b/>
          <w:bCs/>
          <w:color w:val="4F81BD"/>
          <w:sz w:val="18"/>
          <w:szCs w:val="18"/>
          <w:rtl/>
        </w:rPr>
        <w:t xml:space="preserve"> :</w:t>
      </w:r>
      <w:r w:rsidRPr="004675E4">
        <w:rPr>
          <w:rFonts w:asciiTheme="majorBidi" w:hAnsiTheme="majorBidi" w:cstheme="majorBidi"/>
          <w:b/>
          <w:bCs/>
          <w:sz w:val="18"/>
          <w:szCs w:val="18"/>
          <w:rtl/>
        </w:rPr>
        <w:t xml:space="preserve"> الدلائل </w:t>
      </w:r>
      <w:r w:rsidRPr="004675E4">
        <w:rPr>
          <w:rFonts w:asciiTheme="majorBidi" w:eastAsia="Calibri" w:hAnsiTheme="majorBidi" w:cstheme="majorBidi"/>
          <w:b/>
          <w:bCs/>
          <w:color w:val="4F81BD"/>
          <w:sz w:val="18"/>
          <w:szCs w:val="18"/>
          <w:rtl/>
        </w:rPr>
        <w:t>،</w:t>
      </w:r>
      <w:r w:rsidRPr="004675E4">
        <w:rPr>
          <w:rFonts w:asciiTheme="majorBidi" w:hAnsiTheme="majorBidi" w:cstheme="majorBidi"/>
          <w:b/>
          <w:bCs/>
          <w:sz w:val="18"/>
          <w:szCs w:val="18"/>
          <w:rtl/>
        </w:rPr>
        <w:t xml:space="preserve"> الرسل </w:t>
      </w:r>
      <w:r w:rsidRPr="004675E4">
        <w:rPr>
          <w:rFonts w:asciiTheme="majorBidi" w:eastAsia="Calibri" w:hAnsiTheme="majorBidi" w:cstheme="majorBidi"/>
          <w:b/>
          <w:bCs/>
          <w:color w:val="4F81BD"/>
          <w:sz w:val="18"/>
          <w:szCs w:val="18"/>
          <w:rtl/>
        </w:rPr>
        <w:t>،</w:t>
      </w:r>
      <w:r w:rsidRPr="004675E4">
        <w:rPr>
          <w:rFonts w:asciiTheme="majorBidi" w:hAnsiTheme="majorBidi" w:cstheme="majorBidi"/>
          <w:b/>
          <w:bCs/>
          <w:sz w:val="18"/>
          <w:szCs w:val="18"/>
          <w:rtl/>
        </w:rPr>
        <w:t xml:space="preserve"> الأعداء</w:t>
      </w:r>
      <w:r w:rsidRPr="004675E4">
        <w:rPr>
          <w:rFonts w:asciiTheme="majorBidi" w:eastAsia="Calibri" w:hAnsiTheme="majorBidi" w:cstheme="majorBidi"/>
          <w:b/>
          <w:bCs/>
          <w:color w:val="4F81BD"/>
          <w:sz w:val="18"/>
          <w:szCs w:val="18"/>
          <w:rtl/>
        </w:rPr>
        <w:t xml:space="preserve"> ،</w:t>
      </w:r>
      <w:r w:rsidRPr="004675E4">
        <w:rPr>
          <w:rFonts w:asciiTheme="majorBidi" w:hAnsiTheme="majorBidi" w:cstheme="majorBidi"/>
          <w:b/>
          <w:bCs/>
          <w:sz w:val="18"/>
          <w:szCs w:val="18"/>
          <w:rtl/>
        </w:rPr>
        <w:t xml:space="preserve"> الخلق</w:t>
      </w:r>
    </w:p>
    <w:p w:rsidR="00670D37" w:rsidRPr="004675E4" w:rsidRDefault="00670D37" w:rsidP="004675E4">
      <w:pPr>
        <w:pStyle w:val="a4"/>
        <w:numPr>
          <w:ilvl w:val="0"/>
          <w:numId w:val="2"/>
        </w:numPr>
        <w:spacing w:after="120" w:line="240" w:lineRule="auto"/>
        <w:jc w:val="center"/>
        <w:rPr>
          <w:rFonts w:asciiTheme="majorBidi" w:hAnsiTheme="majorBidi" w:cstheme="majorBidi"/>
          <w:b/>
          <w:bCs/>
          <w:sz w:val="18"/>
          <w:szCs w:val="18"/>
          <w:rtl/>
        </w:rPr>
      </w:pPr>
      <w:r w:rsidRPr="004675E4">
        <w:rPr>
          <w:rFonts w:asciiTheme="majorBidi" w:hAnsiTheme="majorBidi" w:cstheme="majorBidi"/>
          <w:b/>
          <w:bCs/>
          <w:sz w:val="18"/>
          <w:szCs w:val="18"/>
          <w:rtl/>
        </w:rPr>
        <w:t>المقدمة</w:t>
      </w:r>
    </w:p>
    <w:p w:rsidR="00670D37" w:rsidRPr="004675E4" w:rsidRDefault="00670D37" w:rsidP="004675E4">
      <w:pPr>
        <w:pStyle w:val="a3"/>
        <w:bidi/>
        <w:spacing w:before="0" w:beforeAutospacing="0" w:after="120" w:afterAutospacing="0"/>
        <w:jc w:val="lowKashida"/>
        <w:rPr>
          <w:rFonts w:asciiTheme="majorBidi" w:hAnsiTheme="majorBidi" w:cstheme="majorBidi"/>
          <w:b/>
          <w:bCs/>
          <w:sz w:val="18"/>
          <w:szCs w:val="18"/>
          <w:rtl/>
        </w:rPr>
      </w:pPr>
      <w:r w:rsidRPr="004675E4">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4675E4">
        <w:rPr>
          <w:rFonts w:asciiTheme="majorBidi" w:eastAsia="Calibri" w:hAnsiTheme="majorBidi" w:cstheme="majorBidi"/>
          <w:b/>
          <w:bCs/>
          <w:sz w:val="18"/>
          <w:szCs w:val="18"/>
          <w:rtl/>
        </w:rPr>
        <w:t>صدق دعوة الأنبياء، وبيان أن إنكار الرسالة طعن في الرب سبحانه</w:t>
      </w:r>
    </w:p>
    <w:p w:rsidR="00670D37" w:rsidRPr="004675E4" w:rsidRDefault="00670D37" w:rsidP="004675E4">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4675E4">
        <w:rPr>
          <w:rFonts w:asciiTheme="majorBidi" w:hAnsiTheme="majorBidi" w:cstheme="majorBidi"/>
          <w:b/>
          <w:bCs/>
          <w:sz w:val="18"/>
          <w:szCs w:val="18"/>
          <w:rtl/>
        </w:rPr>
        <w:t>عنوان المقال</w:t>
      </w:r>
    </w:p>
    <w:p w:rsidR="00670D37" w:rsidRPr="004675E4" w:rsidRDefault="00670D37" w:rsidP="004675E4">
      <w:pPr>
        <w:pStyle w:val="a3"/>
        <w:widowControl w:val="0"/>
        <w:bidi/>
        <w:jc w:val="lowKashida"/>
        <w:rPr>
          <w:rFonts w:asciiTheme="majorBidi" w:hAnsiTheme="majorBidi" w:cstheme="majorBidi"/>
          <w:b/>
          <w:bCs/>
          <w:color w:val="000080"/>
          <w:sz w:val="18"/>
          <w:szCs w:val="18"/>
        </w:rPr>
      </w:pPr>
      <w:r w:rsidRPr="004675E4">
        <w:rPr>
          <w:rFonts w:asciiTheme="majorBidi" w:hAnsiTheme="majorBidi" w:cstheme="majorBidi"/>
          <w:b/>
          <w:bCs/>
          <w:color w:val="000080"/>
          <w:sz w:val="18"/>
          <w:szCs w:val="18"/>
          <w:rtl/>
        </w:rPr>
        <w:t xml:space="preserve">دلائل صدق الأنبياء -عليهم السلام- في دعواهم، وتبليغ رسالة الله </w:t>
      </w:r>
      <w:r w:rsidRPr="004675E4">
        <w:rPr>
          <w:rFonts w:asciiTheme="majorBidi" w:hAnsiTheme="majorBidi" w:cstheme="majorBidi"/>
          <w:b/>
          <w:bCs/>
          <w:color w:val="000080"/>
          <w:position w:val="-4"/>
          <w:sz w:val="18"/>
          <w:szCs w:val="18"/>
        </w:rPr>
        <w:t></w:t>
      </w:r>
      <w:r w:rsidRPr="004675E4">
        <w:rPr>
          <w:rFonts w:asciiTheme="majorBidi" w:hAnsiTheme="majorBidi" w:cstheme="majorBidi"/>
          <w:b/>
          <w:bCs/>
          <w:color w:val="000080"/>
          <w:sz w:val="18"/>
          <w:szCs w:val="18"/>
          <w:rtl/>
        </w:rPr>
        <w:t xml:space="preserve"> إلى الناس: </w:t>
      </w:r>
    </w:p>
    <w:p w:rsidR="00670D37" w:rsidRPr="004675E4" w:rsidRDefault="00670D37" w:rsidP="004675E4">
      <w:pPr>
        <w:pStyle w:val="a3"/>
        <w:bidi/>
        <w:spacing w:before="0" w:beforeAutospacing="0" w:after="120" w:afterAutospacing="0"/>
        <w:jc w:val="lowKashida"/>
        <w:rPr>
          <w:rFonts w:asciiTheme="majorBidi" w:hAnsiTheme="majorBidi" w:cstheme="majorBidi"/>
          <w:b/>
          <w:bCs/>
          <w:sz w:val="18"/>
          <w:szCs w:val="18"/>
        </w:rPr>
      </w:pPr>
      <w:r w:rsidRPr="004675E4">
        <w:rPr>
          <w:rFonts w:asciiTheme="majorBidi" w:hAnsiTheme="majorBidi" w:cstheme="majorBidi"/>
          <w:b/>
          <w:bCs/>
          <w:sz w:val="18"/>
          <w:szCs w:val="18"/>
          <w:rtl/>
        </w:rPr>
        <w:t xml:space="preserve">من هذه الدلائل أن الرسل أخبروا الأمم بما سيكون من انتصارهم، وخذلان أولئك -أي: الأعداء- وبقاء العاقبة لهم. ومنها: </w:t>
      </w:r>
    </w:p>
    <w:p w:rsidR="00670D37" w:rsidRPr="004675E4" w:rsidRDefault="00670D37" w:rsidP="004675E4">
      <w:pPr>
        <w:pStyle w:val="a3"/>
        <w:bidi/>
        <w:spacing w:before="0" w:beforeAutospacing="0" w:after="120" w:afterAutospacing="0"/>
        <w:jc w:val="lowKashida"/>
        <w:rPr>
          <w:rFonts w:asciiTheme="majorBidi" w:hAnsiTheme="majorBidi" w:cstheme="majorBidi"/>
          <w:b/>
          <w:bCs/>
          <w:sz w:val="18"/>
          <w:szCs w:val="18"/>
        </w:rPr>
      </w:pPr>
      <w:r w:rsidRPr="004675E4">
        <w:rPr>
          <w:rFonts w:asciiTheme="majorBidi" w:hAnsiTheme="majorBidi" w:cstheme="majorBidi"/>
          <w:b/>
          <w:bCs/>
          <w:sz w:val="18"/>
          <w:szCs w:val="18"/>
          <w:rtl/>
        </w:rPr>
        <w:t xml:space="preserve">ما أحدثه الله لهم من نصرهم وإهلاك عدوهم إذا عرف الوجه الذي حصل عليه كغرق فرعون، وغرق قوم نوح، وبقية أحوالهم عرف صدق الرسول وصدق الرسل أجمعين -عليهم السلام-. </w:t>
      </w:r>
    </w:p>
    <w:p w:rsidR="00670D37" w:rsidRPr="004675E4" w:rsidRDefault="00670D37" w:rsidP="004675E4">
      <w:pPr>
        <w:pStyle w:val="a3"/>
        <w:bidi/>
        <w:spacing w:before="0" w:beforeAutospacing="0" w:after="120" w:afterAutospacing="0"/>
        <w:jc w:val="lowKashida"/>
        <w:rPr>
          <w:rFonts w:asciiTheme="majorBidi" w:hAnsiTheme="majorBidi" w:cstheme="majorBidi"/>
          <w:b/>
          <w:bCs/>
          <w:sz w:val="18"/>
          <w:szCs w:val="18"/>
        </w:rPr>
      </w:pPr>
      <w:r w:rsidRPr="004675E4">
        <w:rPr>
          <w:rFonts w:asciiTheme="majorBidi" w:hAnsiTheme="majorBidi" w:cstheme="majorBidi"/>
          <w:b/>
          <w:bCs/>
          <w:sz w:val="18"/>
          <w:szCs w:val="18"/>
          <w:rtl/>
        </w:rPr>
        <w:t>ومن هذه الدلائل أيضًا: أن من عرف ما جاء به الرسل من الشرائع وتفاصيل أحوالها تبين له أنهم أعلم بالخلق، وأنه لا يحصل مثل ذلك من كذاب جاهل، وأن فيما جاءوا به من الرحمة والمصلحة والهُدى والخير، ودلالة الخلق على ما ينفعهم، ومنع ما يضرهم ما يبين أن ادعاء الرسالة، وأن الإتيان بالشريعة من عند الله لا يصدر إلا عن راحم بار يقصد غاية الخير والمنفعة للخلق.</w:t>
      </w:r>
    </w:p>
    <w:p w:rsidR="00670D37" w:rsidRPr="004675E4" w:rsidRDefault="00670D37" w:rsidP="004675E4">
      <w:pPr>
        <w:pStyle w:val="a3"/>
        <w:bidi/>
        <w:spacing w:before="0" w:beforeAutospacing="0" w:after="120" w:afterAutospacing="0"/>
        <w:jc w:val="lowKashida"/>
        <w:rPr>
          <w:rFonts w:asciiTheme="majorBidi" w:hAnsiTheme="majorBidi" w:cstheme="majorBidi"/>
          <w:b/>
          <w:bCs/>
          <w:sz w:val="18"/>
          <w:szCs w:val="18"/>
        </w:rPr>
      </w:pPr>
      <w:r w:rsidRPr="004675E4">
        <w:rPr>
          <w:rFonts w:asciiTheme="majorBidi" w:hAnsiTheme="majorBidi" w:cstheme="majorBidi"/>
          <w:b/>
          <w:bCs/>
          <w:sz w:val="18"/>
          <w:szCs w:val="18"/>
          <w:rtl/>
        </w:rPr>
        <w:t xml:space="preserve">يعني: الرسل شرائعهم تدل على صدقهم في أنهم رسل من عند الله </w:t>
      </w:r>
      <w:r w:rsidRPr="004675E4">
        <w:rPr>
          <w:rFonts w:asciiTheme="majorBidi" w:hAnsiTheme="majorBidi" w:cstheme="majorBidi"/>
          <w:b/>
          <w:bCs/>
          <w:position w:val="-4"/>
          <w:sz w:val="18"/>
          <w:szCs w:val="18"/>
        </w:rPr>
        <w:t></w:t>
      </w:r>
      <w:r w:rsidRPr="004675E4">
        <w:rPr>
          <w:rFonts w:asciiTheme="majorBidi" w:hAnsiTheme="majorBidi" w:cstheme="majorBidi"/>
          <w:b/>
          <w:bCs/>
          <w:sz w:val="18"/>
          <w:szCs w:val="18"/>
          <w:rtl/>
        </w:rPr>
        <w:t xml:space="preserve"> حيث إن الشريعة مصدر الخير، مصدر السعادة، مصدر الحلول لكل المشكلات، فإذن دلائل نبوة الأنبياء متنوعة وكثيرة، وأنها لا تقتصر على المعجزات فقط، نعم المعجزات إحدى الدلائل التي تدل على صدق النبي </w:t>
      </w:r>
      <w:r w:rsidRPr="004675E4">
        <w:rPr>
          <w:rFonts w:asciiTheme="majorBidi" w:hAnsiTheme="majorBidi" w:cstheme="majorBidi"/>
          <w:b/>
          <w:bCs/>
          <w:position w:val="-4"/>
          <w:sz w:val="18"/>
          <w:szCs w:val="18"/>
        </w:rPr>
        <w:t></w:t>
      </w:r>
      <w:r w:rsidRPr="004675E4">
        <w:rPr>
          <w:rFonts w:asciiTheme="majorBidi" w:hAnsiTheme="majorBidi" w:cstheme="majorBidi"/>
          <w:b/>
          <w:bCs/>
          <w:sz w:val="18"/>
          <w:szCs w:val="18"/>
          <w:rtl/>
        </w:rPr>
        <w:t xml:space="preserve"> لكن دلائل صدقهم غير محصورة في هذا المعنى.</w:t>
      </w:r>
    </w:p>
    <w:p w:rsidR="00670D37" w:rsidRPr="004675E4" w:rsidRDefault="00670D37" w:rsidP="004675E4">
      <w:pPr>
        <w:pStyle w:val="a3"/>
        <w:bidi/>
        <w:spacing w:before="0" w:beforeAutospacing="0" w:after="120" w:afterAutospacing="0"/>
        <w:jc w:val="lowKashida"/>
        <w:rPr>
          <w:rFonts w:asciiTheme="majorBidi" w:hAnsiTheme="majorBidi" w:cstheme="majorBidi"/>
          <w:b/>
          <w:bCs/>
          <w:sz w:val="18"/>
          <w:szCs w:val="18"/>
        </w:rPr>
      </w:pPr>
      <w:r w:rsidRPr="004675E4">
        <w:rPr>
          <w:rFonts w:asciiTheme="majorBidi" w:hAnsiTheme="majorBidi" w:cstheme="majorBidi"/>
          <w:b/>
          <w:bCs/>
          <w:sz w:val="18"/>
          <w:szCs w:val="18"/>
          <w:rtl/>
        </w:rPr>
        <w:t xml:space="preserve">بيان أن إنكار رسالة النبي </w:t>
      </w:r>
      <w:r w:rsidRPr="004675E4">
        <w:rPr>
          <w:rFonts w:asciiTheme="majorBidi" w:hAnsiTheme="majorBidi" w:cstheme="majorBidi"/>
          <w:b/>
          <w:bCs/>
          <w:position w:val="-4"/>
          <w:sz w:val="18"/>
          <w:szCs w:val="18"/>
        </w:rPr>
        <w:t></w:t>
      </w:r>
      <w:r w:rsidRPr="004675E4">
        <w:rPr>
          <w:rFonts w:asciiTheme="majorBidi" w:hAnsiTheme="majorBidi" w:cstheme="majorBidi"/>
          <w:b/>
          <w:bCs/>
          <w:sz w:val="18"/>
          <w:szCs w:val="18"/>
          <w:rtl/>
        </w:rPr>
        <w:t xml:space="preserve"> طعن في الرب تبارك وتعالى:  بيان ذلك أنه إذا كان سيدنا محمد </w:t>
      </w:r>
      <w:r w:rsidRPr="004675E4">
        <w:rPr>
          <w:rFonts w:asciiTheme="majorBidi" w:hAnsiTheme="majorBidi" w:cstheme="majorBidi"/>
          <w:b/>
          <w:bCs/>
          <w:position w:val="-4"/>
          <w:sz w:val="18"/>
          <w:szCs w:val="18"/>
        </w:rPr>
        <w:t></w:t>
      </w:r>
      <w:r w:rsidRPr="004675E4">
        <w:rPr>
          <w:rFonts w:asciiTheme="majorBidi" w:hAnsiTheme="majorBidi" w:cstheme="majorBidi"/>
          <w:b/>
          <w:bCs/>
          <w:sz w:val="18"/>
          <w:szCs w:val="18"/>
          <w:rtl/>
        </w:rPr>
        <w:t xml:space="preserve"> ليس بنبي صادق بل ملِك ظالم، فقد تهيأ له أن يفتري على الله ويتقول عليه، ويستمر حتى يحلل ويحرم، ويفرض الفرائض، ويشرع الشرائع، وينسخ الملل، ويضرب الرقاب، ويقتل أتباع الرسل وهم أهل الحق، ويسبي نساءهم، ويغنم أموالهم وديارهم، ويتم له ذلك حتى يفتح الأرض وينسب ذلك كله إلى أمر الله له به ومحبته له، والرب تعالى يشاهده وهو يفعل بأهل الحق ما يفعل من افتراء عليه لمدة ثلاث وعشرين سنة، وهو مع ذلك كله يؤيده، وينصره، ويعلي أمره، ويمكن له من أسباب النصر. </w:t>
      </w:r>
    </w:p>
    <w:p w:rsidR="00670D37" w:rsidRPr="004675E4" w:rsidRDefault="00670D37" w:rsidP="004675E4">
      <w:pPr>
        <w:pStyle w:val="a3"/>
        <w:bidi/>
        <w:spacing w:before="0" w:beforeAutospacing="0" w:after="120" w:afterAutospacing="0"/>
        <w:jc w:val="both"/>
        <w:rPr>
          <w:rFonts w:asciiTheme="majorBidi" w:hAnsiTheme="majorBidi" w:cstheme="majorBidi"/>
          <w:b/>
          <w:bCs/>
          <w:sz w:val="18"/>
          <w:szCs w:val="18"/>
        </w:rPr>
      </w:pPr>
      <w:r w:rsidRPr="004675E4">
        <w:rPr>
          <w:rFonts w:asciiTheme="majorBidi" w:hAnsiTheme="majorBidi" w:cstheme="majorBidi"/>
          <w:b/>
          <w:bCs/>
          <w:sz w:val="18"/>
          <w:szCs w:val="18"/>
          <w:rtl/>
        </w:rPr>
        <w:t xml:space="preserve">هذا إن كان الأمر كذلك، فهذا طعن في الرب -تبارك وتعالى- لأنه كيف يتركه الله </w:t>
      </w:r>
      <w:r w:rsidRPr="004675E4">
        <w:rPr>
          <w:rFonts w:asciiTheme="majorBidi" w:hAnsiTheme="majorBidi" w:cstheme="majorBidi"/>
          <w:b/>
          <w:bCs/>
          <w:position w:val="-4"/>
          <w:sz w:val="18"/>
          <w:szCs w:val="18"/>
        </w:rPr>
        <w:t></w:t>
      </w:r>
      <w:r w:rsidRPr="004675E4">
        <w:rPr>
          <w:rFonts w:asciiTheme="majorBidi" w:hAnsiTheme="majorBidi" w:cstheme="majorBidi"/>
          <w:b/>
          <w:bCs/>
          <w:sz w:val="18"/>
          <w:szCs w:val="18"/>
          <w:rtl/>
        </w:rPr>
        <w:t xml:space="preserve"> أن يفعل ذلك كله ولا يعاقبه، وسنة الله التي قد خلت من قبل أنه لا يترك أحدًا يفتري عليه ويكذب عليه، ولذلك يقول تعالى: </w:t>
      </w:r>
      <w:r w:rsidR="004675E4" w:rsidRPr="004675E4">
        <w:rPr>
          <w:rFonts w:ascii="Tahoma" w:hAnsi="Tahoma" w:cs="DecoType Thuluth" w:hint="cs"/>
          <w:color w:val="008000"/>
          <w:sz w:val="18"/>
          <w:szCs w:val="18"/>
          <w:rtl/>
        </w:rPr>
        <w:t>{</w:t>
      </w:r>
      <w:r w:rsidR="004675E4" w:rsidRPr="004675E4">
        <w:rPr>
          <w:rFonts w:ascii="QCF_P524" w:hAnsi="QCF_P524" w:cs="QCF_P524"/>
          <w:color w:val="008000"/>
          <w:sz w:val="18"/>
          <w:szCs w:val="18"/>
          <w:rtl/>
        </w:rPr>
        <w:t>ﯼ ﯽ ﯾ ﯿ ﰀ ﰁ ﰂ ﰃﰄ ﰅ ﰆ ﰇ ﰈ ﰉ</w:t>
      </w:r>
      <w:r w:rsidR="004675E4" w:rsidRPr="004675E4">
        <w:rPr>
          <w:rFonts w:ascii="QCF_P524" w:hAnsi="QCF_P524" w:cs="DecoType Thuluth"/>
          <w:color w:val="008000"/>
          <w:sz w:val="18"/>
          <w:szCs w:val="18"/>
          <w:rtl/>
        </w:rPr>
        <w:t>}</w:t>
      </w:r>
      <w:r w:rsidR="004675E4" w:rsidRPr="004675E4">
        <w:rPr>
          <w:rFonts w:ascii="Tahoma" w:hAnsi="Tahoma" w:cs="AL-Hotham" w:hint="cs"/>
          <w:color w:val="008000"/>
          <w:sz w:val="18"/>
          <w:szCs w:val="18"/>
          <w:rtl/>
        </w:rPr>
        <w:t xml:space="preserve"> </w:t>
      </w:r>
      <w:r w:rsidRPr="004675E4">
        <w:rPr>
          <w:rFonts w:asciiTheme="majorBidi" w:hAnsiTheme="majorBidi" w:cstheme="majorBidi"/>
          <w:b/>
          <w:bCs/>
          <w:sz w:val="18"/>
          <w:szCs w:val="18"/>
          <w:rtl/>
        </w:rPr>
        <w:t xml:space="preserve">[الطور: 30، 13]. </w:t>
      </w:r>
    </w:p>
    <w:p w:rsidR="00670D37" w:rsidRPr="004675E4" w:rsidRDefault="00670D37" w:rsidP="004675E4">
      <w:pPr>
        <w:jc w:val="center"/>
        <w:rPr>
          <w:rFonts w:asciiTheme="majorBidi" w:hAnsiTheme="majorBidi" w:cstheme="majorBidi"/>
          <w:b/>
          <w:bCs/>
          <w:sz w:val="18"/>
          <w:szCs w:val="18"/>
          <w:rtl/>
          <w:lang w:bidi="ar-EG"/>
        </w:rPr>
      </w:pPr>
      <w:r w:rsidRPr="004675E4">
        <w:rPr>
          <w:rFonts w:asciiTheme="majorBidi" w:hAnsiTheme="majorBidi" w:cstheme="majorBidi"/>
          <w:b/>
          <w:bCs/>
          <w:sz w:val="18"/>
          <w:szCs w:val="18"/>
          <w:rtl/>
          <w:lang w:bidi="ar-EG"/>
        </w:rPr>
        <w:lastRenderedPageBreak/>
        <w:t>المراجع والمصادر</w:t>
      </w:r>
    </w:p>
    <w:p w:rsidR="00670D37" w:rsidRPr="004675E4" w:rsidRDefault="00670D37" w:rsidP="004675E4">
      <w:pPr>
        <w:numPr>
          <w:ilvl w:val="0"/>
          <w:numId w:val="1"/>
        </w:numPr>
        <w:spacing w:after="120"/>
        <w:ind w:left="510"/>
        <w:jc w:val="lowKashida"/>
        <w:rPr>
          <w:rFonts w:asciiTheme="majorBidi" w:hAnsiTheme="majorBidi" w:cstheme="majorBidi"/>
          <w:b/>
          <w:bCs/>
          <w:sz w:val="18"/>
          <w:szCs w:val="18"/>
        </w:rPr>
      </w:pPr>
      <w:r w:rsidRPr="004675E4">
        <w:rPr>
          <w:rFonts w:asciiTheme="majorBidi" w:hAnsiTheme="majorBidi" w:cstheme="majorBidi"/>
          <w:b/>
          <w:bCs/>
          <w:sz w:val="18"/>
          <w:szCs w:val="18"/>
          <w:rtl/>
        </w:rPr>
        <w:t>عبد الستار فتح الله سعيد، التفسير الموضوعي ، مطبعة مكتبة الدعوة، 1987م.</w:t>
      </w:r>
    </w:p>
    <w:p w:rsidR="00670D37" w:rsidRPr="004675E4" w:rsidRDefault="00670D37" w:rsidP="004675E4">
      <w:pPr>
        <w:numPr>
          <w:ilvl w:val="0"/>
          <w:numId w:val="1"/>
        </w:numPr>
        <w:spacing w:after="120"/>
        <w:ind w:left="510"/>
        <w:jc w:val="lowKashida"/>
        <w:rPr>
          <w:rFonts w:asciiTheme="majorBidi" w:hAnsiTheme="majorBidi" w:cstheme="majorBidi"/>
          <w:b/>
          <w:bCs/>
          <w:sz w:val="18"/>
          <w:szCs w:val="18"/>
          <w:rtl/>
        </w:rPr>
      </w:pPr>
      <w:r w:rsidRPr="004675E4">
        <w:rPr>
          <w:rFonts w:asciiTheme="majorBidi" w:hAnsiTheme="majorBidi" w:cstheme="majorBidi"/>
          <w:b/>
          <w:bCs/>
          <w:sz w:val="18"/>
          <w:szCs w:val="18"/>
          <w:rtl/>
        </w:rPr>
        <w:t xml:space="preserve">محمد السيد الكومي، التفسير الموضوعي </w:t>
      </w:r>
      <w:r w:rsidRPr="004675E4">
        <w:rPr>
          <w:rFonts w:asciiTheme="majorBidi" w:hAnsiTheme="majorBidi" w:cstheme="majorBidi"/>
          <w:b/>
          <w:bCs/>
          <w:sz w:val="18"/>
          <w:szCs w:val="18"/>
          <w:rtl/>
          <w:lang w:bidi="ar-EG"/>
        </w:rPr>
        <w:t xml:space="preserve"> </w:t>
      </w:r>
      <w:r w:rsidRPr="004675E4">
        <w:rPr>
          <w:rFonts w:asciiTheme="majorBidi" w:hAnsiTheme="majorBidi" w:cstheme="majorBidi"/>
          <w:b/>
          <w:bCs/>
          <w:sz w:val="18"/>
          <w:szCs w:val="18"/>
          <w:rtl/>
        </w:rPr>
        <w:t>مطبعة الأزهرية، 1967م.</w:t>
      </w:r>
    </w:p>
    <w:p w:rsidR="00670D37" w:rsidRPr="004675E4" w:rsidRDefault="00670D37" w:rsidP="004675E4">
      <w:pPr>
        <w:numPr>
          <w:ilvl w:val="0"/>
          <w:numId w:val="1"/>
        </w:numPr>
        <w:spacing w:after="120"/>
        <w:ind w:left="510"/>
        <w:jc w:val="lowKashida"/>
        <w:rPr>
          <w:rFonts w:asciiTheme="majorBidi" w:hAnsiTheme="majorBidi" w:cstheme="majorBidi"/>
          <w:b/>
          <w:bCs/>
          <w:sz w:val="18"/>
          <w:szCs w:val="18"/>
        </w:rPr>
      </w:pPr>
      <w:r w:rsidRPr="004675E4">
        <w:rPr>
          <w:rFonts w:asciiTheme="majorBidi" w:hAnsiTheme="majorBidi" w:cstheme="majorBidi"/>
          <w:b/>
          <w:bCs/>
          <w:sz w:val="18"/>
          <w:szCs w:val="18"/>
          <w:rtl/>
        </w:rPr>
        <w:t>ابن أبي العز الحنفي، شرح العقيدة الطحاوية ،بيروت، المكتب الإسلامي، 1391هـ</w:t>
      </w:r>
      <w:r w:rsidRPr="004675E4">
        <w:rPr>
          <w:rFonts w:asciiTheme="majorBidi" w:hAnsiTheme="majorBidi" w:cstheme="majorBidi"/>
          <w:b/>
          <w:bCs/>
          <w:sz w:val="18"/>
          <w:szCs w:val="18"/>
          <w:rtl/>
          <w:lang w:bidi="ar-EG"/>
        </w:rPr>
        <w:t>.</w:t>
      </w:r>
    </w:p>
    <w:p w:rsidR="00670D37" w:rsidRPr="004675E4" w:rsidRDefault="00670D37" w:rsidP="004675E4">
      <w:pPr>
        <w:numPr>
          <w:ilvl w:val="0"/>
          <w:numId w:val="1"/>
        </w:numPr>
        <w:spacing w:after="120"/>
        <w:ind w:left="510"/>
        <w:jc w:val="lowKashida"/>
        <w:rPr>
          <w:rFonts w:asciiTheme="majorBidi" w:hAnsiTheme="majorBidi" w:cstheme="majorBidi"/>
          <w:b/>
          <w:bCs/>
          <w:sz w:val="18"/>
          <w:szCs w:val="18"/>
        </w:rPr>
      </w:pPr>
      <w:r w:rsidRPr="004675E4">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670D37" w:rsidRPr="004675E4" w:rsidRDefault="00670D37" w:rsidP="004675E4">
      <w:pPr>
        <w:numPr>
          <w:ilvl w:val="0"/>
          <w:numId w:val="1"/>
        </w:numPr>
        <w:spacing w:after="120"/>
        <w:ind w:left="510"/>
        <w:jc w:val="lowKashida"/>
        <w:rPr>
          <w:rFonts w:asciiTheme="majorBidi" w:hAnsiTheme="majorBidi" w:cstheme="majorBidi"/>
          <w:b/>
          <w:bCs/>
          <w:sz w:val="18"/>
          <w:szCs w:val="18"/>
        </w:rPr>
      </w:pPr>
      <w:r w:rsidRPr="004675E4">
        <w:rPr>
          <w:rFonts w:asciiTheme="majorBidi" w:hAnsiTheme="majorBidi" w:cstheme="majorBidi"/>
          <w:b/>
          <w:bCs/>
          <w:sz w:val="18"/>
          <w:szCs w:val="18"/>
          <w:rtl/>
        </w:rPr>
        <w:t>محمد علي الفقي،فقه المعاملات:  دراسة مقارنة ،مجموعة النيل العربية، 2000م.</w:t>
      </w:r>
    </w:p>
    <w:p w:rsidR="00670D37" w:rsidRPr="004675E4" w:rsidRDefault="00670D37" w:rsidP="004675E4">
      <w:pPr>
        <w:numPr>
          <w:ilvl w:val="0"/>
          <w:numId w:val="1"/>
        </w:numPr>
        <w:spacing w:after="120"/>
        <w:ind w:left="510"/>
        <w:jc w:val="lowKashida"/>
        <w:rPr>
          <w:rFonts w:asciiTheme="majorBidi" w:hAnsiTheme="majorBidi" w:cstheme="majorBidi"/>
          <w:b/>
          <w:bCs/>
          <w:sz w:val="18"/>
          <w:szCs w:val="18"/>
        </w:rPr>
      </w:pPr>
      <w:r w:rsidRPr="004675E4">
        <w:rPr>
          <w:rFonts w:asciiTheme="majorBidi" w:hAnsiTheme="majorBidi" w:cstheme="majorBidi"/>
          <w:b/>
          <w:bCs/>
          <w:sz w:val="18"/>
          <w:szCs w:val="18"/>
          <w:rtl/>
        </w:rPr>
        <w:t>مُوفَّق الدين أبو محمد عبد الله بن أحمد بن محمد بن</w:t>
      </w:r>
      <w:r w:rsidRPr="004675E4">
        <w:rPr>
          <w:rFonts w:asciiTheme="majorBidi" w:hAnsiTheme="majorBidi" w:cstheme="majorBidi"/>
          <w:b/>
          <w:bCs/>
          <w:sz w:val="18"/>
          <w:szCs w:val="18"/>
        </w:rPr>
        <w:t xml:space="preserve"> </w:t>
      </w:r>
      <w:r w:rsidRPr="004675E4">
        <w:rPr>
          <w:rFonts w:asciiTheme="majorBidi" w:hAnsiTheme="majorBidi" w:cstheme="majorBidi"/>
          <w:b/>
          <w:bCs/>
          <w:sz w:val="18"/>
          <w:szCs w:val="18"/>
          <w:rtl/>
        </w:rPr>
        <w:t>قدامة المقدسي الجمّاعيلي الدّمشقي الصالحي الحنبلي،المغني ،1999م.</w:t>
      </w:r>
    </w:p>
    <w:p w:rsidR="00670D37" w:rsidRPr="004675E4" w:rsidRDefault="00670D37" w:rsidP="004675E4">
      <w:pPr>
        <w:numPr>
          <w:ilvl w:val="0"/>
          <w:numId w:val="1"/>
        </w:numPr>
        <w:spacing w:after="120"/>
        <w:ind w:left="510"/>
        <w:jc w:val="lowKashida"/>
        <w:rPr>
          <w:rFonts w:asciiTheme="majorBidi" w:hAnsiTheme="majorBidi" w:cstheme="majorBidi"/>
          <w:b/>
          <w:bCs/>
          <w:sz w:val="18"/>
          <w:szCs w:val="18"/>
        </w:rPr>
      </w:pPr>
      <w:r w:rsidRPr="004675E4">
        <w:rPr>
          <w:rFonts w:asciiTheme="majorBidi" w:hAnsiTheme="majorBidi" w:cstheme="majorBidi"/>
          <w:b/>
          <w:bCs/>
          <w:sz w:val="18"/>
          <w:szCs w:val="18"/>
          <w:rtl/>
        </w:rPr>
        <w:t xml:space="preserve">أبو بكر بن العربي، أحكام القرآن </w:t>
      </w:r>
      <w:r w:rsidRPr="004675E4">
        <w:rPr>
          <w:rFonts w:asciiTheme="majorBidi" w:hAnsiTheme="majorBidi" w:cstheme="majorBidi"/>
          <w:b/>
          <w:bCs/>
          <w:sz w:val="18"/>
          <w:szCs w:val="18"/>
          <w:rtl/>
          <w:lang w:bidi="ar-EG"/>
        </w:rPr>
        <w:t>،</w:t>
      </w:r>
      <w:r w:rsidRPr="004675E4">
        <w:rPr>
          <w:rFonts w:asciiTheme="majorBidi" w:hAnsiTheme="majorBidi" w:cstheme="majorBidi"/>
          <w:b/>
          <w:bCs/>
          <w:sz w:val="18"/>
          <w:szCs w:val="18"/>
          <w:rtl/>
        </w:rPr>
        <w:t>تحقيق محمد عبد القادر عطا، دار الكتب العلمية، 1996م.</w:t>
      </w:r>
    </w:p>
    <w:p w:rsidR="00670D37" w:rsidRPr="004675E4" w:rsidRDefault="00670D37" w:rsidP="004675E4">
      <w:pPr>
        <w:pStyle w:val="a4"/>
        <w:numPr>
          <w:ilvl w:val="0"/>
          <w:numId w:val="1"/>
        </w:numPr>
        <w:spacing w:after="120" w:line="240" w:lineRule="auto"/>
        <w:jc w:val="lowKashida"/>
        <w:rPr>
          <w:rFonts w:asciiTheme="majorBidi" w:hAnsiTheme="majorBidi" w:cstheme="majorBidi"/>
          <w:b/>
          <w:bCs/>
          <w:sz w:val="18"/>
          <w:szCs w:val="18"/>
          <w:rtl/>
        </w:rPr>
      </w:pPr>
      <w:r w:rsidRPr="004675E4">
        <w:rPr>
          <w:rFonts w:asciiTheme="majorBidi" w:hAnsiTheme="majorBidi" w:cstheme="majorBidi"/>
          <w:b/>
          <w:bCs/>
          <w:sz w:val="18"/>
          <w:szCs w:val="18"/>
          <w:rtl/>
        </w:rPr>
        <w:t>أبو بكر أحمد الجصاص، أحكام القرآنبيروت، دار الكتب العلمية، 1993م.</w:t>
      </w:r>
    </w:p>
    <w:p w:rsidR="00670D37" w:rsidRPr="004675E4" w:rsidRDefault="00670D37" w:rsidP="004675E4">
      <w:pPr>
        <w:spacing w:after="120"/>
        <w:ind w:left="510"/>
        <w:jc w:val="lowKashida"/>
        <w:rPr>
          <w:rFonts w:asciiTheme="majorBidi" w:hAnsiTheme="majorBidi" w:cstheme="majorBidi"/>
          <w:b/>
          <w:bCs/>
          <w:sz w:val="18"/>
          <w:szCs w:val="18"/>
        </w:rPr>
      </w:pPr>
    </w:p>
    <w:p w:rsidR="00670D37" w:rsidRPr="004675E4" w:rsidRDefault="00670D37" w:rsidP="004675E4">
      <w:pPr>
        <w:numPr>
          <w:ilvl w:val="0"/>
          <w:numId w:val="1"/>
        </w:numPr>
        <w:spacing w:after="120"/>
        <w:jc w:val="lowKashida"/>
        <w:rPr>
          <w:rFonts w:asciiTheme="majorBidi" w:hAnsiTheme="majorBidi" w:cstheme="majorBidi"/>
          <w:b/>
          <w:bCs/>
          <w:sz w:val="18"/>
          <w:szCs w:val="18"/>
          <w:rtl/>
        </w:rPr>
      </w:pPr>
      <w:r w:rsidRPr="004675E4">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670D37" w:rsidRPr="004675E4" w:rsidRDefault="00670D37" w:rsidP="004675E4">
      <w:pPr>
        <w:numPr>
          <w:ilvl w:val="0"/>
          <w:numId w:val="1"/>
        </w:numPr>
        <w:spacing w:after="120"/>
        <w:jc w:val="lowKashida"/>
        <w:rPr>
          <w:rFonts w:asciiTheme="majorBidi" w:hAnsiTheme="majorBidi" w:cstheme="majorBidi"/>
          <w:b/>
          <w:bCs/>
          <w:sz w:val="18"/>
          <w:szCs w:val="18"/>
        </w:rPr>
      </w:pPr>
      <w:r w:rsidRPr="004675E4">
        <w:rPr>
          <w:rFonts w:asciiTheme="majorBidi" w:hAnsiTheme="majorBidi" w:cstheme="majorBidi"/>
          <w:b/>
          <w:bCs/>
          <w:sz w:val="18"/>
          <w:szCs w:val="18"/>
          <w:rtl/>
        </w:rPr>
        <w:t>عماد الدين أبو الفداء إسماعيل بن كثير القرشي</w:t>
      </w:r>
      <w:r w:rsidRPr="004675E4">
        <w:rPr>
          <w:rFonts w:asciiTheme="majorBidi" w:hAnsiTheme="majorBidi" w:cstheme="majorBidi"/>
          <w:b/>
          <w:bCs/>
          <w:sz w:val="18"/>
          <w:szCs w:val="18"/>
        </w:rPr>
        <w:t xml:space="preserve"> </w:t>
      </w:r>
      <w:r w:rsidRPr="004675E4">
        <w:rPr>
          <w:rFonts w:asciiTheme="majorBidi" w:hAnsiTheme="majorBidi" w:cstheme="majorBidi"/>
          <w:b/>
          <w:bCs/>
          <w:sz w:val="18"/>
          <w:szCs w:val="18"/>
          <w:rtl/>
        </w:rPr>
        <w:t>الدمشقي,  تفسير القرآن العظيم ،</w:t>
      </w:r>
      <w:r w:rsidRPr="004675E4">
        <w:rPr>
          <w:rFonts w:asciiTheme="majorBidi" w:hAnsiTheme="majorBidi" w:cstheme="majorBidi"/>
          <w:b/>
          <w:bCs/>
          <w:sz w:val="18"/>
          <w:szCs w:val="18"/>
          <w:rtl/>
          <w:lang w:bidi="ar-EG"/>
        </w:rPr>
        <w:t xml:space="preserve"> </w:t>
      </w:r>
      <w:r w:rsidRPr="004675E4">
        <w:rPr>
          <w:rFonts w:asciiTheme="majorBidi" w:hAnsiTheme="majorBidi" w:cstheme="majorBidi"/>
          <w:b/>
          <w:bCs/>
          <w:sz w:val="18"/>
          <w:szCs w:val="18"/>
          <w:rtl/>
        </w:rPr>
        <w:t>دار الراية للنشر والتوزيع، 1993م.</w:t>
      </w:r>
    </w:p>
    <w:p w:rsidR="00670D37" w:rsidRPr="004675E4" w:rsidRDefault="00670D37" w:rsidP="004675E4">
      <w:pPr>
        <w:numPr>
          <w:ilvl w:val="0"/>
          <w:numId w:val="1"/>
        </w:numPr>
        <w:spacing w:after="120"/>
        <w:jc w:val="lowKashida"/>
        <w:rPr>
          <w:rFonts w:asciiTheme="majorBidi" w:hAnsiTheme="majorBidi" w:cstheme="majorBidi"/>
          <w:b/>
          <w:bCs/>
          <w:sz w:val="18"/>
          <w:szCs w:val="18"/>
          <w:rtl/>
        </w:rPr>
      </w:pPr>
      <w:r w:rsidRPr="004675E4">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4675E4">
        <w:rPr>
          <w:rFonts w:asciiTheme="majorBidi" w:hAnsiTheme="majorBidi" w:cstheme="majorBidi"/>
          <w:b/>
          <w:bCs/>
          <w:sz w:val="18"/>
          <w:szCs w:val="18"/>
          <w:rtl/>
          <w:lang w:bidi="ar-EG"/>
        </w:rPr>
        <w:t>،</w:t>
      </w:r>
      <w:r w:rsidRPr="004675E4">
        <w:rPr>
          <w:rFonts w:asciiTheme="majorBidi" w:hAnsiTheme="majorBidi" w:cstheme="majorBidi"/>
          <w:b/>
          <w:bCs/>
          <w:sz w:val="18"/>
          <w:szCs w:val="18"/>
          <w:rtl/>
        </w:rPr>
        <w:t>دار المعرفة للطباعة والنشر، 1999م.</w:t>
      </w:r>
    </w:p>
    <w:p w:rsidR="00670D37" w:rsidRPr="004675E4" w:rsidRDefault="00670D37" w:rsidP="004675E4">
      <w:pPr>
        <w:numPr>
          <w:ilvl w:val="0"/>
          <w:numId w:val="1"/>
        </w:numPr>
        <w:spacing w:after="120"/>
        <w:jc w:val="lowKashida"/>
        <w:rPr>
          <w:rFonts w:asciiTheme="majorBidi" w:hAnsiTheme="majorBidi" w:cstheme="majorBidi"/>
          <w:b/>
          <w:bCs/>
          <w:sz w:val="18"/>
          <w:szCs w:val="18"/>
          <w:rtl/>
        </w:rPr>
      </w:pPr>
      <w:r w:rsidRPr="004675E4">
        <w:rPr>
          <w:rFonts w:asciiTheme="majorBidi" w:hAnsiTheme="majorBidi" w:cstheme="majorBidi"/>
          <w:b/>
          <w:bCs/>
          <w:sz w:val="18"/>
          <w:szCs w:val="18"/>
          <w:rtl/>
        </w:rPr>
        <w:t>عمر عبد العزيز المترك، الربا والمعاملات المعاصرة، دار العاصمة،  1417هـ.</w:t>
      </w:r>
    </w:p>
    <w:p w:rsidR="00670D37" w:rsidRPr="004675E4" w:rsidRDefault="00670D37" w:rsidP="004675E4">
      <w:pPr>
        <w:numPr>
          <w:ilvl w:val="0"/>
          <w:numId w:val="1"/>
        </w:numPr>
        <w:spacing w:after="120"/>
        <w:jc w:val="lowKashida"/>
        <w:rPr>
          <w:rFonts w:asciiTheme="majorBidi" w:hAnsiTheme="majorBidi" w:cstheme="majorBidi"/>
          <w:b/>
          <w:bCs/>
          <w:sz w:val="18"/>
          <w:szCs w:val="18"/>
        </w:rPr>
      </w:pPr>
      <w:r w:rsidRPr="004675E4">
        <w:rPr>
          <w:rFonts w:asciiTheme="majorBidi" w:hAnsiTheme="majorBidi" w:cstheme="majorBidi"/>
          <w:b/>
          <w:bCs/>
          <w:sz w:val="18"/>
          <w:szCs w:val="18"/>
          <w:rtl/>
        </w:rPr>
        <w:t xml:space="preserve">عباس محمود العقاد، حقائق الإسلام وأباطيل خصومه </w:t>
      </w:r>
      <w:r w:rsidRPr="004675E4">
        <w:rPr>
          <w:rFonts w:asciiTheme="majorBidi" w:hAnsiTheme="majorBidi" w:cstheme="majorBidi"/>
          <w:b/>
          <w:bCs/>
          <w:sz w:val="18"/>
          <w:szCs w:val="18"/>
          <w:rtl/>
          <w:lang w:bidi="ar-EG"/>
        </w:rPr>
        <w:t>،</w:t>
      </w:r>
      <w:r w:rsidRPr="004675E4">
        <w:rPr>
          <w:rFonts w:asciiTheme="majorBidi" w:hAnsiTheme="majorBidi" w:cstheme="majorBidi"/>
          <w:b/>
          <w:bCs/>
          <w:sz w:val="18"/>
          <w:szCs w:val="18"/>
          <w:rtl/>
        </w:rPr>
        <w:t>مصر، دار نهضة، 1957م.</w:t>
      </w:r>
    </w:p>
    <w:p w:rsidR="00670D37" w:rsidRPr="004675E4" w:rsidRDefault="00670D37" w:rsidP="004675E4">
      <w:pPr>
        <w:numPr>
          <w:ilvl w:val="0"/>
          <w:numId w:val="1"/>
        </w:numPr>
        <w:spacing w:after="120"/>
        <w:jc w:val="lowKashida"/>
        <w:rPr>
          <w:rFonts w:asciiTheme="majorBidi" w:hAnsiTheme="majorBidi" w:cstheme="majorBidi"/>
          <w:b/>
          <w:bCs/>
          <w:sz w:val="18"/>
          <w:szCs w:val="18"/>
        </w:rPr>
      </w:pPr>
      <w:r w:rsidRPr="004675E4">
        <w:rPr>
          <w:rFonts w:asciiTheme="majorBidi" w:hAnsiTheme="majorBidi" w:cstheme="majorBidi"/>
          <w:b/>
          <w:bCs/>
          <w:sz w:val="18"/>
          <w:szCs w:val="18"/>
          <w:rtl/>
        </w:rPr>
        <w:t xml:space="preserve">الشَّريف حمدان راجح الهجاري،  قواعد الدعوة الإسلامية </w:t>
      </w:r>
      <w:r w:rsidRPr="004675E4">
        <w:rPr>
          <w:rFonts w:asciiTheme="majorBidi" w:hAnsiTheme="majorBidi" w:cstheme="majorBidi"/>
          <w:b/>
          <w:bCs/>
          <w:sz w:val="18"/>
          <w:szCs w:val="18"/>
          <w:rtl/>
          <w:lang w:bidi="ar-EG"/>
        </w:rPr>
        <w:t xml:space="preserve">، </w:t>
      </w:r>
      <w:r w:rsidRPr="004675E4">
        <w:rPr>
          <w:rFonts w:asciiTheme="majorBidi" w:hAnsiTheme="majorBidi" w:cstheme="majorBidi"/>
          <w:b/>
          <w:bCs/>
          <w:sz w:val="18"/>
          <w:szCs w:val="18"/>
          <w:rtl/>
        </w:rPr>
        <w:t>القاهرة، مطابع ابن تيمية، 1413هـ.</w:t>
      </w:r>
    </w:p>
    <w:p w:rsidR="00670D37" w:rsidRPr="004675E4" w:rsidRDefault="00670D37" w:rsidP="004675E4">
      <w:pPr>
        <w:numPr>
          <w:ilvl w:val="0"/>
          <w:numId w:val="1"/>
        </w:numPr>
        <w:spacing w:after="120"/>
        <w:jc w:val="lowKashida"/>
        <w:rPr>
          <w:rFonts w:asciiTheme="majorBidi" w:hAnsiTheme="majorBidi" w:cstheme="majorBidi"/>
          <w:b/>
          <w:bCs/>
          <w:sz w:val="18"/>
          <w:szCs w:val="18"/>
          <w:rtl/>
        </w:rPr>
      </w:pPr>
      <w:r w:rsidRPr="004675E4">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670D37" w:rsidRPr="004675E4" w:rsidRDefault="00670D37" w:rsidP="004675E4">
      <w:pPr>
        <w:pStyle w:val="a3"/>
        <w:bidi/>
        <w:spacing w:before="0" w:beforeAutospacing="0" w:after="120" w:afterAutospacing="0"/>
        <w:jc w:val="lowKashida"/>
        <w:rPr>
          <w:rFonts w:asciiTheme="majorBidi" w:hAnsiTheme="majorBidi" w:cstheme="majorBidi"/>
          <w:b/>
          <w:bCs/>
          <w:sz w:val="18"/>
          <w:szCs w:val="18"/>
          <w:rtl/>
        </w:rPr>
      </w:pPr>
    </w:p>
    <w:p w:rsidR="00670D37" w:rsidRPr="004675E4" w:rsidRDefault="00670D37" w:rsidP="004675E4">
      <w:pPr>
        <w:spacing w:before="60"/>
        <w:jc w:val="lowKashida"/>
        <w:rPr>
          <w:rFonts w:asciiTheme="majorBidi" w:eastAsia="Calibri" w:hAnsiTheme="majorBidi" w:cstheme="majorBidi"/>
          <w:b/>
          <w:bCs/>
          <w:color w:val="4F81BD"/>
          <w:sz w:val="18"/>
          <w:szCs w:val="18"/>
        </w:rPr>
      </w:pPr>
    </w:p>
    <w:p w:rsidR="00670D37" w:rsidRPr="004675E4" w:rsidRDefault="00670D37" w:rsidP="004675E4">
      <w:pPr>
        <w:spacing w:after="120"/>
        <w:ind w:left="227" w:firstLine="493"/>
        <w:jc w:val="lowKashida"/>
        <w:rPr>
          <w:rFonts w:asciiTheme="majorBidi" w:hAnsiTheme="majorBidi" w:cstheme="majorBidi"/>
          <w:b/>
          <w:bCs/>
          <w:sz w:val="18"/>
          <w:szCs w:val="18"/>
          <w:rtl/>
        </w:rPr>
      </w:pPr>
    </w:p>
    <w:p w:rsidR="00670D37" w:rsidRPr="004675E4" w:rsidRDefault="00670D37" w:rsidP="004675E4">
      <w:pPr>
        <w:rPr>
          <w:rFonts w:asciiTheme="majorBidi" w:hAnsiTheme="majorBidi" w:cstheme="majorBidi"/>
          <w:i/>
          <w:iCs/>
          <w:sz w:val="18"/>
          <w:szCs w:val="18"/>
          <w:rtl/>
        </w:rPr>
        <w:sectPr w:rsidR="00670D37" w:rsidRPr="004675E4" w:rsidSect="00670D37">
          <w:type w:val="continuous"/>
          <w:pgSz w:w="11906" w:h="16838"/>
          <w:pgMar w:top="964" w:right="1021" w:bottom="964" w:left="1021" w:header="709" w:footer="709" w:gutter="0"/>
          <w:cols w:num="2" w:space="708"/>
          <w:bidi/>
          <w:rtlGutter/>
          <w:docGrid w:linePitch="360"/>
        </w:sectPr>
      </w:pPr>
    </w:p>
    <w:p w:rsidR="00670D37" w:rsidRPr="004675E4" w:rsidRDefault="00670D37" w:rsidP="004675E4">
      <w:pPr>
        <w:rPr>
          <w:rFonts w:asciiTheme="majorBidi" w:hAnsiTheme="majorBidi" w:cstheme="majorBidi"/>
          <w:i/>
          <w:iCs/>
          <w:sz w:val="18"/>
          <w:szCs w:val="18"/>
          <w:rtl/>
        </w:rPr>
      </w:pPr>
    </w:p>
    <w:p w:rsidR="00670D37" w:rsidRPr="004675E4" w:rsidRDefault="00670D37" w:rsidP="004675E4">
      <w:pPr>
        <w:jc w:val="center"/>
        <w:rPr>
          <w:rFonts w:asciiTheme="majorBidi" w:hAnsiTheme="majorBidi" w:cstheme="majorBidi"/>
          <w:i/>
          <w:iCs/>
          <w:sz w:val="18"/>
          <w:szCs w:val="18"/>
        </w:rPr>
      </w:pPr>
    </w:p>
    <w:p w:rsidR="00670D37" w:rsidRPr="00670D37" w:rsidRDefault="00670D37" w:rsidP="00670D37">
      <w:pPr>
        <w:spacing w:before="60"/>
        <w:jc w:val="center"/>
        <w:rPr>
          <w:rFonts w:asciiTheme="majorBidi" w:eastAsia="Calibri" w:hAnsiTheme="majorBidi" w:cstheme="majorBidi"/>
          <w:i/>
          <w:iCs/>
          <w:sz w:val="28"/>
          <w:szCs w:val="28"/>
        </w:rPr>
      </w:pPr>
    </w:p>
    <w:p w:rsidR="009556CB" w:rsidRDefault="009556CB"/>
    <w:sectPr w:rsidR="009556CB" w:rsidSect="00670D37">
      <w:type w:val="continuous"/>
      <w:pgSz w:w="11906" w:h="16838"/>
      <w:pgMar w:top="964" w:right="1021" w:bottom="964" w:left="102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66C" w:rsidRDefault="0018266C" w:rsidP="001E057D">
      <w:r>
        <w:separator/>
      </w:r>
    </w:p>
  </w:endnote>
  <w:endnote w:type="continuationSeparator" w:id="1">
    <w:p w:rsidR="0018266C" w:rsidRDefault="0018266C" w:rsidP="001E05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524">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66C" w:rsidRDefault="0018266C" w:rsidP="001E057D">
      <w:r>
        <w:separator/>
      </w:r>
    </w:p>
  </w:footnote>
  <w:footnote w:type="continuationSeparator" w:id="1">
    <w:p w:rsidR="0018266C" w:rsidRDefault="0018266C" w:rsidP="001E05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09F"/>
    <w:multiLevelType w:val="hybridMultilevel"/>
    <w:tmpl w:val="A43281B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670D37"/>
    <w:rsid w:val="0016699D"/>
    <w:rsid w:val="0018266C"/>
    <w:rsid w:val="001E057D"/>
    <w:rsid w:val="004675E4"/>
    <w:rsid w:val="00514443"/>
    <w:rsid w:val="00670D37"/>
    <w:rsid w:val="00762FFF"/>
    <w:rsid w:val="009556CB"/>
    <w:rsid w:val="009D4C88"/>
    <w:rsid w:val="00BF7572"/>
    <w:rsid w:val="00CA7A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D3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70D37"/>
    <w:rPr>
      <w:color w:val="0000FF" w:themeColor="hyperlink"/>
      <w:u w:val="single"/>
    </w:rPr>
  </w:style>
  <w:style w:type="paragraph" w:styleId="a3">
    <w:name w:val="Normal (Web)"/>
    <w:basedOn w:val="a"/>
    <w:rsid w:val="00670D37"/>
    <w:pPr>
      <w:bidi w:val="0"/>
      <w:spacing w:before="100" w:beforeAutospacing="1" w:after="100" w:afterAutospacing="1"/>
    </w:pPr>
  </w:style>
  <w:style w:type="paragraph" w:styleId="a4">
    <w:name w:val="List Paragraph"/>
    <w:basedOn w:val="a"/>
    <w:uiPriority w:val="34"/>
    <w:qFormat/>
    <w:rsid w:val="00670D3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2013-06-09T22:28:00Z</dcterms:created>
  <dcterms:modified xsi:type="dcterms:W3CDTF">2013-06-19T06:46:00Z</dcterms:modified>
</cp:coreProperties>
</file>