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B96D17" w:rsidRDefault="00B96D17" w:rsidP="00B96D17">
      <w:pPr>
        <w:spacing w:line="240" w:lineRule="auto"/>
        <w:jc w:val="center"/>
        <w:rPr>
          <w:rFonts w:asciiTheme="majorBidi" w:hAnsiTheme="majorBidi" w:cstheme="majorBidi"/>
          <w:i/>
          <w:iCs/>
          <w:sz w:val="48"/>
          <w:szCs w:val="48"/>
          <w:rtl/>
        </w:rPr>
      </w:pPr>
      <w:r w:rsidRPr="00B96D17">
        <w:rPr>
          <w:rFonts w:asciiTheme="majorBidi" w:eastAsia="Calibri" w:hAnsiTheme="majorBidi" w:cstheme="majorBidi"/>
          <w:i/>
          <w:iCs/>
          <w:sz w:val="48"/>
          <w:szCs w:val="48"/>
          <w:rtl/>
        </w:rPr>
        <w:t>الحج في القرآن الكريم</w:t>
      </w:r>
    </w:p>
    <w:p w:rsidR="00B96D17" w:rsidRPr="00B96D17" w:rsidRDefault="00B96D17" w:rsidP="00B96D17">
      <w:pPr>
        <w:spacing w:after="120" w:line="240" w:lineRule="auto"/>
        <w:jc w:val="center"/>
        <w:rPr>
          <w:rFonts w:asciiTheme="majorBidi" w:hAnsiTheme="majorBidi" w:cstheme="majorBidi"/>
          <w:i/>
          <w:iCs/>
          <w:sz w:val="28"/>
          <w:szCs w:val="28"/>
          <w:rtl/>
        </w:rPr>
      </w:pPr>
      <w:r w:rsidRPr="00B96D17">
        <w:rPr>
          <w:rFonts w:asciiTheme="majorBidi" w:hAnsiTheme="majorBidi" w:cstheme="majorBidi"/>
          <w:i/>
          <w:iCs/>
          <w:sz w:val="28"/>
          <w:szCs w:val="28"/>
          <w:rtl/>
        </w:rPr>
        <w:t>بحث في التفسير الموض</w:t>
      </w:r>
      <w:r w:rsidR="00B61936">
        <w:rPr>
          <w:rFonts w:asciiTheme="majorBidi" w:hAnsiTheme="majorBidi" w:cstheme="majorBidi" w:hint="cs"/>
          <w:i/>
          <w:iCs/>
          <w:sz w:val="28"/>
          <w:szCs w:val="28"/>
          <w:rtl/>
        </w:rPr>
        <w:t>و</w:t>
      </w:r>
      <w:r w:rsidRPr="00B96D17">
        <w:rPr>
          <w:rFonts w:asciiTheme="majorBidi" w:hAnsiTheme="majorBidi" w:cstheme="majorBidi"/>
          <w:i/>
          <w:iCs/>
          <w:sz w:val="28"/>
          <w:szCs w:val="28"/>
          <w:rtl/>
        </w:rPr>
        <w:t>عي</w:t>
      </w:r>
    </w:p>
    <w:p w:rsidR="00B96D17" w:rsidRPr="00B96D17" w:rsidRDefault="00B96D17" w:rsidP="00616060">
      <w:pPr>
        <w:spacing w:line="240" w:lineRule="auto"/>
        <w:jc w:val="center"/>
        <w:rPr>
          <w:rFonts w:asciiTheme="majorBidi" w:eastAsia="Times New Roman" w:hAnsiTheme="majorBidi" w:cstheme="majorBidi"/>
          <w:b/>
          <w:bCs/>
        </w:rPr>
      </w:pPr>
      <w:r w:rsidRPr="00B96D17">
        <w:rPr>
          <w:rFonts w:asciiTheme="majorBidi" w:hAnsiTheme="majorBidi" w:cstheme="majorBidi"/>
          <w:b/>
          <w:bCs/>
          <w:rtl/>
        </w:rPr>
        <w:t xml:space="preserve">إعداد </w:t>
      </w:r>
      <w:r w:rsidRPr="00B96D17">
        <w:rPr>
          <w:rFonts w:asciiTheme="majorBidi" w:eastAsia="Times New Roman" w:hAnsiTheme="majorBidi" w:cstheme="majorBidi"/>
          <w:b/>
          <w:bCs/>
          <w:rtl/>
        </w:rPr>
        <w:t xml:space="preserve">أ/ </w:t>
      </w:r>
      <w:r w:rsidR="00616060" w:rsidRPr="00616060">
        <w:rPr>
          <w:rFonts w:asciiTheme="majorBidi" w:eastAsia="Times New Roman" w:hAnsiTheme="majorBidi" w:cstheme="majorBidi"/>
          <w:b/>
          <w:bCs/>
          <w:i/>
          <w:iCs/>
          <w:rtl/>
        </w:rPr>
        <w:t>أيمن محمد أبو</w:t>
      </w:r>
      <w:r w:rsidR="00616060" w:rsidRPr="00616060">
        <w:rPr>
          <w:rFonts w:asciiTheme="majorBidi" w:eastAsia="Times New Roman" w:hAnsiTheme="majorBidi" w:cstheme="majorBidi" w:hint="cs"/>
          <w:b/>
          <w:bCs/>
          <w:i/>
          <w:iCs/>
          <w:rtl/>
        </w:rPr>
        <w:t xml:space="preserve"> </w:t>
      </w:r>
      <w:r w:rsidR="00616060" w:rsidRPr="00616060">
        <w:rPr>
          <w:rFonts w:asciiTheme="majorBidi" w:eastAsia="Times New Roman" w:hAnsiTheme="majorBidi" w:cstheme="majorBidi"/>
          <w:b/>
          <w:bCs/>
          <w:i/>
          <w:iCs/>
          <w:rtl/>
        </w:rPr>
        <w:t>بكر</w:t>
      </w:r>
    </w:p>
    <w:p w:rsidR="00B96D17" w:rsidRPr="00B96D17" w:rsidRDefault="00B96D17" w:rsidP="00B96D17">
      <w:pPr>
        <w:spacing w:line="240" w:lineRule="auto"/>
        <w:jc w:val="center"/>
        <w:rPr>
          <w:rFonts w:asciiTheme="majorBidi" w:eastAsia="Times New Roman" w:hAnsiTheme="majorBidi" w:cstheme="majorBidi"/>
          <w:i/>
          <w:iCs/>
          <w:sz w:val="20"/>
          <w:szCs w:val="20"/>
        </w:rPr>
      </w:pPr>
      <w:r w:rsidRPr="00B96D17">
        <w:rPr>
          <w:rFonts w:asciiTheme="majorBidi" w:hAnsiTheme="majorBidi" w:cstheme="majorBidi"/>
          <w:i/>
          <w:iCs/>
          <w:sz w:val="20"/>
          <w:szCs w:val="20"/>
          <w:rtl/>
        </w:rPr>
        <w:t>قسم الدعوة وأصول الدين</w:t>
      </w:r>
    </w:p>
    <w:p w:rsidR="00B96D17" w:rsidRPr="00B96D17" w:rsidRDefault="00B96D17" w:rsidP="00B96D17">
      <w:pPr>
        <w:spacing w:line="240" w:lineRule="auto"/>
        <w:jc w:val="center"/>
        <w:rPr>
          <w:rFonts w:asciiTheme="majorBidi" w:hAnsiTheme="majorBidi" w:cstheme="majorBidi"/>
          <w:i/>
          <w:iCs/>
          <w:sz w:val="20"/>
          <w:szCs w:val="20"/>
        </w:rPr>
      </w:pPr>
      <w:r w:rsidRPr="00B96D17">
        <w:rPr>
          <w:rFonts w:asciiTheme="majorBidi" w:hAnsiTheme="majorBidi" w:cstheme="majorBidi"/>
          <w:i/>
          <w:iCs/>
          <w:sz w:val="20"/>
          <w:szCs w:val="20"/>
          <w:rtl/>
        </w:rPr>
        <w:t>كلية العلوم الإسلامية – جامعة المدينة العالمية</w:t>
      </w:r>
    </w:p>
    <w:p w:rsidR="00B96D17" w:rsidRPr="00B96D17" w:rsidRDefault="00B96D17" w:rsidP="00B96D17">
      <w:pPr>
        <w:spacing w:line="240" w:lineRule="auto"/>
        <w:jc w:val="center"/>
        <w:rPr>
          <w:rFonts w:asciiTheme="majorBidi" w:hAnsiTheme="majorBidi" w:cstheme="majorBidi"/>
          <w:i/>
          <w:iCs/>
          <w:sz w:val="20"/>
          <w:szCs w:val="20"/>
          <w:rtl/>
        </w:rPr>
      </w:pPr>
      <w:r w:rsidRPr="00B96D17">
        <w:rPr>
          <w:rFonts w:asciiTheme="majorBidi" w:hAnsiTheme="majorBidi" w:cstheme="majorBidi"/>
          <w:i/>
          <w:iCs/>
          <w:sz w:val="20"/>
          <w:szCs w:val="20"/>
          <w:rtl/>
        </w:rPr>
        <w:t>شاه علم – ماليزيا</w:t>
      </w:r>
    </w:p>
    <w:p w:rsidR="00B96D17" w:rsidRPr="00B96D17" w:rsidRDefault="00616060" w:rsidP="00616060">
      <w:pPr>
        <w:spacing w:line="240" w:lineRule="auto"/>
        <w:jc w:val="center"/>
        <w:rPr>
          <w:rFonts w:asciiTheme="majorBidi" w:hAnsiTheme="majorBidi" w:cstheme="majorBidi"/>
          <w:i/>
          <w:iCs/>
          <w:rtl/>
          <w:lang w:bidi="ar-EG"/>
        </w:rPr>
      </w:pPr>
      <w:r w:rsidRPr="00616060">
        <w:rPr>
          <w:rFonts w:asciiTheme="majorBidi" w:hAnsiTheme="majorBidi" w:cstheme="majorBidi"/>
          <w:i/>
          <w:iCs/>
          <w:sz w:val="20"/>
          <w:szCs w:val="20"/>
          <w:lang w:bidi="ar-EG"/>
        </w:rPr>
        <w:t>ayman.abobakr@mediu.ws</w:t>
      </w:r>
    </w:p>
    <w:p w:rsidR="00B96D17" w:rsidRPr="00B96D17" w:rsidRDefault="00B96D17" w:rsidP="00B96D17">
      <w:pPr>
        <w:spacing w:line="240" w:lineRule="auto"/>
        <w:rPr>
          <w:rFonts w:asciiTheme="majorBidi" w:hAnsiTheme="majorBidi" w:cstheme="majorBidi"/>
          <w:b/>
          <w:bCs/>
          <w:sz w:val="18"/>
          <w:szCs w:val="18"/>
          <w:rtl/>
        </w:rPr>
        <w:sectPr w:rsidR="00B96D17" w:rsidRPr="00B96D17" w:rsidSect="00BF7572">
          <w:pgSz w:w="11906" w:h="16838"/>
          <w:pgMar w:top="964" w:right="1021" w:bottom="964" w:left="1021" w:header="709" w:footer="709" w:gutter="0"/>
          <w:cols w:space="708"/>
          <w:bidi/>
          <w:rtlGutter/>
          <w:docGrid w:linePitch="360"/>
        </w:sectPr>
      </w:pPr>
    </w:p>
    <w:p w:rsidR="00B96D17" w:rsidRPr="00B61936" w:rsidRDefault="00B96D17" w:rsidP="00B61936">
      <w:pPr>
        <w:spacing w:line="240" w:lineRule="auto"/>
        <w:rPr>
          <w:rFonts w:asciiTheme="majorBidi" w:hAnsiTheme="majorBidi" w:cstheme="majorBidi"/>
          <w:b/>
          <w:bCs/>
          <w:i/>
          <w:iCs/>
          <w:sz w:val="18"/>
          <w:szCs w:val="18"/>
          <w:rtl/>
          <w:lang w:bidi="ar-EG"/>
        </w:rPr>
      </w:pPr>
      <w:r w:rsidRPr="00B61936">
        <w:rPr>
          <w:rFonts w:asciiTheme="majorBidi" w:hAnsiTheme="majorBidi" w:cstheme="majorBidi"/>
          <w:b/>
          <w:bCs/>
          <w:sz w:val="18"/>
          <w:szCs w:val="18"/>
          <w:rtl/>
        </w:rPr>
        <w:lastRenderedPageBreak/>
        <w:t>خلاصة  -- هذا البحث يبحث في</w:t>
      </w:r>
      <w:r w:rsidRPr="00B61936">
        <w:rPr>
          <w:rFonts w:asciiTheme="majorBidi" w:hAnsiTheme="majorBidi" w:cstheme="majorBidi"/>
          <w:b/>
          <w:bCs/>
          <w:i/>
          <w:iCs/>
          <w:sz w:val="18"/>
          <w:szCs w:val="18"/>
          <w:rtl/>
          <w:lang w:bidi="ar-EG"/>
        </w:rPr>
        <w:t xml:space="preserve"> </w:t>
      </w:r>
      <w:r w:rsidRPr="00B61936">
        <w:rPr>
          <w:rFonts w:asciiTheme="majorBidi" w:eastAsia="Calibri" w:hAnsiTheme="majorBidi" w:cstheme="majorBidi"/>
          <w:b/>
          <w:bCs/>
          <w:sz w:val="18"/>
          <w:szCs w:val="18"/>
          <w:rtl/>
        </w:rPr>
        <w:t>الحج في القرآن الكريم</w:t>
      </w:r>
    </w:p>
    <w:p w:rsidR="00B96D17" w:rsidRPr="00B61936" w:rsidRDefault="00B96D17" w:rsidP="00B61936">
      <w:pPr>
        <w:spacing w:line="240" w:lineRule="auto"/>
        <w:rPr>
          <w:rFonts w:asciiTheme="majorBidi" w:hAnsiTheme="majorBidi" w:cstheme="majorBidi"/>
          <w:b/>
          <w:bCs/>
          <w:i/>
          <w:iCs/>
          <w:sz w:val="18"/>
          <w:szCs w:val="18"/>
          <w:rtl/>
          <w:lang w:bidi="ar-EG"/>
        </w:rPr>
      </w:pPr>
      <w:r w:rsidRPr="00B61936">
        <w:rPr>
          <w:rFonts w:asciiTheme="majorBidi" w:hAnsiTheme="majorBidi" w:cstheme="majorBidi"/>
          <w:b/>
          <w:bCs/>
          <w:sz w:val="18"/>
          <w:szCs w:val="18"/>
          <w:rtl/>
        </w:rPr>
        <w:t>الكلمات المفتاحية</w:t>
      </w:r>
      <w:r w:rsidRPr="00B61936">
        <w:rPr>
          <w:rFonts w:asciiTheme="majorBidi" w:hAnsiTheme="majorBidi" w:cstheme="majorBidi"/>
          <w:b/>
          <w:bCs/>
          <w:i/>
          <w:iCs/>
          <w:sz w:val="18"/>
          <w:szCs w:val="18"/>
          <w:rtl/>
          <w:lang w:bidi="ar-EG"/>
        </w:rPr>
        <w:t xml:space="preserve"> :</w:t>
      </w:r>
      <w:r w:rsidRPr="00B61936">
        <w:rPr>
          <w:rFonts w:asciiTheme="majorBidi" w:hAnsiTheme="majorBidi" w:cstheme="majorBidi"/>
          <w:b/>
          <w:bCs/>
          <w:sz w:val="18"/>
          <w:szCs w:val="18"/>
          <w:rtl/>
        </w:rPr>
        <w:t xml:space="preserve"> الإنسان</w:t>
      </w:r>
      <w:r w:rsidRPr="00B61936">
        <w:rPr>
          <w:rFonts w:asciiTheme="majorBidi" w:hAnsiTheme="majorBidi" w:cstheme="majorBidi"/>
          <w:b/>
          <w:bCs/>
          <w:i/>
          <w:iCs/>
          <w:sz w:val="18"/>
          <w:szCs w:val="18"/>
          <w:rtl/>
          <w:lang w:bidi="ar-EG"/>
        </w:rPr>
        <w:t xml:space="preserve"> ،</w:t>
      </w:r>
      <w:r w:rsidRPr="00B61936">
        <w:rPr>
          <w:rFonts w:asciiTheme="majorBidi" w:hAnsiTheme="majorBidi" w:cstheme="majorBidi"/>
          <w:b/>
          <w:bCs/>
          <w:sz w:val="18"/>
          <w:szCs w:val="18"/>
          <w:rtl/>
        </w:rPr>
        <w:t xml:space="preserve"> بيت الله الحرام</w:t>
      </w:r>
      <w:r w:rsidRPr="00B61936">
        <w:rPr>
          <w:rFonts w:asciiTheme="majorBidi" w:hAnsiTheme="majorBidi" w:cstheme="majorBidi"/>
          <w:b/>
          <w:bCs/>
          <w:i/>
          <w:iCs/>
          <w:sz w:val="18"/>
          <w:szCs w:val="18"/>
          <w:rtl/>
          <w:lang w:bidi="ar-EG"/>
        </w:rPr>
        <w:t xml:space="preserve"> ،</w:t>
      </w:r>
      <w:r w:rsidRPr="00B61936">
        <w:rPr>
          <w:rFonts w:asciiTheme="majorBidi" w:hAnsiTheme="majorBidi" w:cstheme="majorBidi"/>
          <w:b/>
          <w:bCs/>
          <w:sz w:val="18"/>
          <w:szCs w:val="18"/>
          <w:rtl/>
        </w:rPr>
        <w:t xml:space="preserve"> صورة قديمة</w:t>
      </w:r>
      <w:r w:rsidRPr="00B61936">
        <w:rPr>
          <w:rFonts w:asciiTheme="majorBidi" w:hAnsiTheme="majorBidi" w:cstheme="majorBidi"/>
          <w:b/>
          <w:bCs/>
          <w:i/>
          <w:iCs/>
          <w:sz w:val="18"/>
          <w:szCs w:val="18"/>
          <w:rtl/>
          <w:lang w:bidi="ar-EG"/>
        </w:rPr>
        <w:t xml:space="preserve"> ،</w:t>
      </w:r>
      <w:r w:rsidRPr="00B61936">
        <w:rPr>
          <w:rFonts w:asciiTheme="majorBidi" w:hAnsiTheme="majorBidi" w:cstheme="majorBidi"/>
          <w:b/>
          <w:bCs/>
          <w:sz w:val="18"/>
          <w:szCs w:val="18"/>
          <w:rtl/>
        </w:rPr>
        <w:t xml:space="preserve"> الكعبة</w:t>
      </w:r>
    </w:p>
    <w:p w:rsidR="00B96D17" w:rsidRPr="00B61936" w:rsidRDefault="00B96D17" w:rsidP="00B61936">
      <w:pPr>
        <w:pStyle w:val="a5"/>
        <w:numPr>
          <w:ilvl w:val="0"/>
          <w:numId w:val="2"/>
        </w:numPr>
        <w:spacing w:after="120" w:line="240" w:lineRule="auto"/>
        <w:jc w:val="center"/>
        <w:rPr>
          <w:rFonts w:asciiTheme="majorBidi" w:hAnsiTheme="majorBidi" w:cstheme="majorBidi"/>
          <w:b/>
          <w:bCs/>
          <w:sz w:val="18"/>
          <w:szCs w:val="18"/>
          <w:rtl/>
        </w:rPr>
      </w:pPr>
      <w:r w:rsidRPr="00B61936">
        <w:rPr>
          <w:rFonts w:asciiTheme="majorBidi" w:hAnsiTheme="majorBidi" w:cstheme="majorBidi"/>
          <w:b/>
          <w:bCs/>
          <w:sz w:val="18"/>
          <w:szCs w:val="18"/>
          <w:rtl/>
        </w:rPr>
        <w:t>المقدمة</w:t>
      </w:r>
    </w:p>
    <w:p w:rsidR="00B96D17" w:rsidRPr="00B61936" w:rsidRDefault="00B96D17" w:rsidP="00B61936">
      <w:pPr>
        <w:pStyle w:val="a3"/>
        <w:bidi/>
        <w:spacing w:before="0" w:beforeAutospacing="0" w:after="120" w:afterAutospacing="0"/>
        <w:jc w:val="lowKashida"/>
        <w:rPr>
          <w:rFonts w:asciiTheme="majorBidi" w:hAnsiTheme="majorBidi" w:cstheme="majorBidi"/>
          <w:b/>
          <w:bCs/>
          <w:sz w:val="18"/>
          <w:szCs w:val="18"/>
          <w:rtl/>
        </w:rPr>
      </w:pPr>
      <w:r w:rsidRPr="00B61936">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B61936">
        <w:rPr>
          <w:rFonts w:asciiTheme="majorBidi" w:eastAsia="Calibri" w:hAnsiTheme="majorBidi" w:cstheme="majorBidi"/>
          <w:b/>
          <w:bCs/>
          <w:sz w:val="18"/>
          <w:szCs w:val="18"/>
          <w:rtl/>
        </w:rPr>
        <w:t>الحج في القرآن الكريم</w:t>
      </w:r>
    </w:p>
    <w:p w:rsidR="00B96D17" w:rsidRPr="00B61936" w:rsidRDefault="00B96D17" w:rsidP="00B61936">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B61936">
        <w:rPr>
          <w:rFonts w:asciiTheme="majorBidi" w:hAnsiTheme="majorBidi" w:cstheme="majorBidi"/>
          <w:b/>
          <w:bCs/>
          <w:sz w:val="18"/>
          <w:szCs w:val="18"/>
          <w:rtl/>
        </w:rPr>
        <w:t>عنوان المقال</w:t>
      </w:r>
    </w:p>
    <w:p w:rsidR="00B96D17" w:rsidRPr="00B61936" w:rsidRDefault="00B96D17" w:rsidP="00B61936">
      <w:pPr>
        <w:pStyle w:val="a3"/>
        <w:widowControl w:val="0"/>
        <w:bidi/>
        <w:spacing w:before="0" w:beforeAutospacing="0" w:after="12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الحج عبادة معروفة، تنتظم من الإنسان قلبه وبدنه وماله، وليس ذلك لغيرها من العبادات، يقوم بها المستطيع من المسلمين في زمن معلوم، وأمكنة معلومة؛ امتثالًا لأمر الله، وابتغاء مرضاته، وتَبتدئ تلك العبادة بنية الحج خالصًا لله، مع التجرد من الثياب المخيطة، ومن صنوف الزينة والترف، وتنتهي بالطواف حول بيت الله الحرام.</w:t>
      </w:r>
    </w:p>
    <w:p w:rsidR="00B96D17" w:rsidRPr="00B61936" w:rsidRDefault="00B96D17" w:rsidP="00B61936">
      <w:pPr>
        <w:pStyle w:val="a3"/>
        <w:widowControl w:val="0"/>
        <w:bidi/>
        <w:jc w:val="lowKashida"/>
        <w:rPr>
          <w:rFonts w:asciiTheme="majorBidi" w:hAnsiTheme="majorBidi" w:cstheme="majorBidi"/>
          <w:b/>
          <w:bCs/>
          <w:color w:val="000080"/>
          <w:sz w:val="18"/>
          <w:szCs w:val="18"/>
        </w:rPr>
      </w:pPr>
      <w:r w:rsidRPr="00B61936">
        <w:rPr>
          <w:rFonts w:asciiTheme="majorBidi" w:hAnsiTheme="majorBidi" w:cstheme="majorBidi"/>
          <w:b/>
          <w:bCs/>
          <w:color w:val="000080"/>
          <w:sz w:val="18"/>
          <w:szCs w:val="18"/>
          <w:rtl/>
        </w:rPr>
        <w:t>الحج قبل الإسلام:</w:t>
      </w:r>
    </w:p>
    <w:p w:rsidR="00B96D17" w:rsidRPr="00B61936" w:rsidRDefault="00B96D17" w:rsidP="00B61936">
      <w:pPr>
        <w:pStyle w:val="a3"/>
        <w:widowControl w:val="0"/>
        <w:bidi/>
        <w:spacing w:before="0" w:beforeAutospacing="0" w:after="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الحج بمعنى زيارة أمكنة مخصوصة ابتغاء التقرب للإله المعبود صورة قديمة من صور العبادات، اتخذتها الشعوب والقبائل رمزًا لإجلال معبوداتهم وتقديسها، قام بها المصريون واليونانيون واليابانيون وغيرهم من الأمم القديمة إلى الهياكل المقدسة عندهم، وكانت كل أمة تتخذ في حجها ما يناسب تخيلها لعظمة معبودها، واستمرت الحال على هذا حتى هيأ الله الأمر لإبراهيم </w:t>
      </w:r>
      <w:r w:rsidRPr="00B61936">
        <w:rPr>
          <w:rFonts w:asciiTheme="majorBidi" w:hAnsiTheme="majorBidi" w:cstheme="majorBidi"/>
          <w:b/>
          <w:bCs/>
          <w:position w:val="-4"/>
          <w:sz w:val="18"/>
          <w:szCs w:val="18"/>
          <w:rtl/>
        </w:rPr>
        <w:t>#</w:t>
      </w:r>
      <w:r w:rsidRPr="00B61936">
        <w:rPr>
          <w:rFonts w:asciiTheme="majorBidi" w:hAnsiTheme="majorBidi" w:cstheme="majorBidi"/>
          <w:b/>
          <w:bCs/>
          <w:sz w:val="18"/>
          <w:szCs w:val="18"/>
          <w:rtl/>
        </w:rPr>
        <w:t xml:space="preserve"> وأمره ببناء البيت الحرام، قال تعالى: </w:t>
      </w:r>
      <w:r w:rsidR="00B61936" w:rsidRPr="00B61936">
        <w:rPr>
          <w:rFonts w:ascii="Tahoma" w:hAnsi="Tahoma" w:cs="DecoType Thuluth" w:hint="cs"/>
          <w:color w:val="008000"/>
          <w:sz w:val="18"/>
          <w:szCs w:val="18"/>
          <w:rtl/>
        </w:rPr>
        <w:t>{</w:t>
      </w:r>
      <w:r w:rsidR="00B61936" w:rsidRPr="00B61936">
        <w:rPr>
          <w:rFonts w:ascii="QCF_P020" w:hAnsi="QCF_P020" w:cs="QCF_P020"/>
          <w:color w:val="008000"/>
          <w:sz w:val="18"/>
          <w:szCs w:val="18"/>
          <w:rtl/>
        </w:rPr>
        <w:t>ﭑ ﭒ ﭓ ﭔ ﭕ ﭖ ﭗ ﭘ ﭙ ﭚ ﭛ ﭜ ﭝ ﭞ ﭟ</w:t>
      </w:r>
      <w:r w:rsidR="00B61936" w:rsidRPr="00B61936">
        <w:rPr>
          <w:rFonts w:ascii="QCF_P020" w:hAnsi="QCF_P020" w:cs="DecoType Thuluth"/>
          <w:color w:val="008000"/>
          <w:sz w:val="18"/>
          <w:szCs w:val="18"/>
          <w:rtl/>
        </w:rPr>
        <w:t>}</w:t>
      </w:r>
      <w:r w:rsidR="00B61936" w:rsidRPr="00B61936">
        <w:rPr>
          <w:rFonts w:ascii="Tahoma" w:hAnsi="Tahoma" w:cs="AL-Hotham" w:hint="cs"/>
          <w:color w:val="008000"/>
          <w:sz w:val="18"/>
          <w:szCs w:val="18"/>
          <w:rtl/>
        </w:rPr>
        <w:t xml:space="preserve"> </w:t>
      </w:r>
      <w:r w:rsidRPr="00B61936">
        <w:rPr>
          <w:rFonts w:asciiTheme="majorBidi" w:hAnsiTheme="majorBidi" w:cstheme="majorBidi"/>
          <w:b/>
          <w:bCs/>
          <w:sz w:val="18"/>
          <w:szCs w:val="18"/>
          <w:rtl/>
        </w:rPr>
        <w:t xml:space="preserve">[البقرة: 127]. </w:t>
      </w:r>
    </w:p>
    <w:p w:rsidR="00B96D17" w:rsidRPr="00B61936" w:rsidRDefault="00B96D17" w:rsidP="00B61936">
      <w:pPr>
        <w:pStyle w:val="a3"/>
        <w:widowControl w:val="0"/>
        <w:bidi/>
        <w:spacing w:before="0" w:beforeAutospacing="0" w:after="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وأمر الناس باتباع ملة إبراهيم. قال تعالى: </w:t>
      </w:r>
      <w:r w:rsidR="00B61936" w:rsidRPr="00B61936">
        <w:rPr>
          <w:rFonts w:ascii="Tahoma" w:hAnsi="Tahoma" w:cs="DecoType Thuluth" w:hint="cs"/>
          <w:color w:val="008000"/>
          <w:sz w:val="18"/>
          <w:szCs w:val="18"/>
          <w:rtl/>
        </w:rPr>
        <w:t>{</w:t>
      </w:r>
      <w:r w:rsidR="00B61936" w:rsidRPr="00B61936">
        <w:rPr>
          <w:rFonts w:ascii="QCF_P020" w:hAnsi="QCF_P020" w:cs="QCF_P020"/>
          <w:color w:val="008000"/>
          <w:sz w:val="18"/>
          <w:szCs w:val="18"/>
          <w:rtl/>
        </w:rPr>
        <w:t>ﮆ ﮇ ﮈ ﮉ ﮊ ﮋ ﮌ ﮍ ﮎ ﮏ ﮐ ﮑ ﮒ ﮓ ﮔ ﮕ ﮖ ﮗ ﮘ ﮙ</w:t>
      </w:r>
      <w:r w:rsidR="00B61936" w:rsidRPr="00B61936">
        <w:rPr>
          <w:rFonts w:ascii="QCF_P020" w:hAnsi="QCF_P020" w:cs="DecoType Thuluth"/>
          <w:color w:val="008000"/>
          <w:sz w:val="18"/>
          <w:szCs w:val="18"/>
          <w:rtl/>
        </w:rPr>
        <w:t>}</w:t>
      </w:r>
      <w:r w:rsidR="00B61936" w:rsidRPr="00B61936">
        <w:rPr>
          <w:rFonts w:ascii="Tahoma" w:hAnsi="Tahoma" w:cs="AL-Hotham" w:hint="cs"/>
          <w:color w:val="008000"/>
          <w:sz w:val="18"/>
          <w:szCs w:val="18"/>
          <w:rtl/>
        </w:rPr>
        <w:t xml:space="preserve"> </w:t>
      </w:r>
      <w:r w:rsidRPr="00B61936">
        <w:rPr>
          <w:rFonts w:asciiTheme="majorBidi" w:hAnsiTheme="majorBidi" w:cstheme="majorBidi"/>
          <w:b/>
          <w:bCs/>
          <w:sz w:val="18"/>
          <w:szCs w:val="18"/>
          <w:rtl/>
        </w:rPr>
        <w:t>[البقرة: 130].</w:t>
      </w:r>
    </w:p>
    <w:p w:rsidR="00B96D17" w:rsidRPr="00B61936" w:rsidRDefault="00B96D17" w:rsidP="00B61936">
      <w:pPr>
        <w:pStyle w:val="a3"/>
        <w:bidi/>
        <w:spacing w:before="0" w:beforeAutospacing="0" w:after="12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جاء الإسلام هكذا مجددًا لدين إبراهيم </w:t>
      </w:r>
      <w:r w:rsidRPr="00B61936">
        <w:rPr>
          <w:rFonts w:asciiTheme="majorBidi" w:hAnsiTheme="majorBidi" w:cstheme="majorBidi"/>
          <w:b/>
          <w:bCs/>
          <w:position w:val="-4"/>
          <w:sz w:val="18"/>
          <w:szCs w:val="18"/>
          <w:rtl/>
        </w:rPr>
        <w:t>#</w:t>
      </w:r>
      <w:r w:rsidRPr="00B61936">
        <w:rPr>
          <w:rFonts w:asciiTheme="majorBidi" w:hAnsiTheme="majorBidi" w:cstheme="majorBidi"/>
          <w:b/>
          <w:bCs/>
          <w:sz w:val="18"/>
          <w:szCs w:val="18"/>
          <w:rtl/>
        </w:rPr>
        <w:t xml:space="preserve">، وهو الدين عند الله، فوجد القوم يحجون إلى الكعبة بما أحدثوا وغيّروا، فتركهم يحجون كما اعتادوا، وقصر الرسول </w:t>
      </w:r>
      <w:r w:rsidRPr="00B61936">
        <w:rPr>
          <w:rFonts w:asciiTheme="majorBidi" w:hAnsiTheme="majorBidi" w:cstheme="majorBidi"/>
          <w:b/>
          <w:bCs/>
          <w:position w:val="-4"/>
          <w:sz w:val="18"/>
          <w:szCs w:val="18"/>
        </w:rPr>
        <w:t></w:t>
      </w:r>
      <w:r w:rsidRPr="00B61936">
        <w:rPr>
          <w:rFonts w:asciiTheme="majorBidi" w:hAnsiTheme="majorBidi" w:cstheme="majorBidi"/>
          <w:b/>
          <w:bCs/>
          <w:sz w:val="18"/>
          <w:szCs w:val="18"/>
          <w:rtl/>
        </w:rPr>
        <w:t xml:space="preserve"> على الدعوة إلى إقرار التوحيد في القلوب، وإفراد الله بالعبادة والاستقامة، حتى أُخْرِج هو وصحبه من مكة موقع بيت الله الحرام، وحيل بينهم وبين القيام بفريضة الحج، وظلوا يكافحون في سبيل الله حتى تجلت منهم آثار التضحية الخالدة، وعُرف فيهم الشوق المُبَرِّح لزيارة بيت الله الحرام، الذي حُرموا النظر إليه والطواف به، فجاءتهم البشرى بأنهم سيدخلون المسجد الحرام إن شاء الله آمنين، محلقين رءوسهم ومقصرين.</w:t>
      </w:r>
    </w:p>
    <w:p w:rsidR="00B96D17" w:rsidRPr="00B61936" w:rsidRDefault="00B96D17" w:rsidP="00B61936">
      <w:pPr>
        <w:pStyle w:val="a3"/>
        <w:widowControl w:val="0"/>
        <w:bidi/>
        <w:spacing w:before="0" w:beforeAutospacing="0" w:after="120" w:afterAutospacing="0"/>
        <w:jc w:val="lowKashida"/>
        <w:rPr>
          <w:rFonts w:asciiTheme="majorBidi" w:hAnsiTheme="majorBidi" w:cstheme="majorBidi"/>
          <w:b/>
          <w:bCs/>
          <w:spacing w:val="-6"/>
          <w:sz w:val="18"/>
          <w:szCs w:val="18"/>
        </w:rPr>
      </w:pPr>
      <w:r w:rsidRPr="00B61936">
        <w:rPr>
          <w:rFonts w:asciiTheme="majorBidi" w:hAnsiTheme="majorBidi" w:cstheme="majorBidi"/>
          <w:b/>
          <w:bCs/>
          <w:spacing w:val="-6"/>
          <w:sz w:val="18"/>
          <w:szCs w:val="18"/>
          <w:rtl/>
        </w:rPr>
        <w:t xml:space="preserve">وفي حرارة هذا الشوق وضوء هذه التضحية، أعاد الله عليهم ذكرى الحج، وأنزل آيات كثيرة، شرح بها أحكامه وبيّن أوقاته وآدابه، وأصح ما أفسد القوم فيه، ورده إلى عهده الأول مهد إبراهيم وإسماعيل -عليهما السلام- ومِن ذلك الحين قام المسلمون بتنفيذ فريضة الحج، الذي فرضه الله على الناس من عهد إبراهيم </w:t>
      </w:r>
      <w:r w:rsidRPr="00B61936">
        <w:rPr>
          <w:rFonts w:asciiTheme="majorBidi" w:hAnsiTheme="majorBidi" w:cstheme="majorBidi"/>
          <w:b/>
          <w:bCs/>
          <w:spacing w:val="-6"/>
          <w:position w:val="-4"/>
          <w:sz w:val="18"/>
          <w:szCs w:val="18"/>
          <w:rtl/>
        </w:rPr>
        <w:t>#</w:t>
      </w:r>
      <w:r w:rsidRPr="00B61936">
        <w:rPr>
          <w:rFonts w:asciiTheme="majorBidi" w:hAnsiTheme="majorBidi" w:cstheme="majorBidi"/>
          <w:b/>
          <w:bCs/>
          <w:spacing w:val="-6"/>
          <w:sz w:val="18"/>
          <w:szCs w:val="18"/>
          <w:rtl/>
        </w:rPr>
        <w:t>.</w:t>
      </w:r>
    </w:p>
    <w:p w:rsidR="00B96D17" w:rsidRPr="00B61936" w:rsidRDefault="00B96D17" w:rsidP="00B61936">
      <w:pPr>
        <w:pStyle w:val="a3"/>
        <w:widowControl w:val="0"/>
        <w:bidi/>
        <w:spacing w:before="0" w:beforeAutospacing="0" w:after="12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وقد تم على أيديهم تطهير البيت من هذه الأصنام، وأمر أصحاب العظمة الزائفة أن يقفوا مع الناس في عرفات، وأن يفيضوا من حيث أفاض الناس؛ تقريرًا لمبدأ المساواة الذي جعله الله بين عباده.</w:t>
      </w:r>
    </w:p>
    <w:p w:rsidR="00B96D17" w:rsidRPr="00B61936" w:rsidRDefault="00B96D17" w:rsidP="00B61936">
      <w:pPr>
        <w:pStyle w:val="a3"/>
        <w:widowControl w:val="0"/>
        <w:bidi/>
        <w:spacing w:before="120" w:beforeAutospacing="0"/>
        <w:jc w:val="lowKashida"/>
        <w:rPr>
          <w:rFonts w:asciiTheme="majorBidi" w:hAnsiTheme="majorBidi" w:cstheme="majorBidi"/>
          <w:b/>
          <w:bCs/>
          <w:color w:val="000080"/>
          <w:sz w:val="18"/>
          <w:szCs w:val="18"/>
        </w:rPr>
      </w:pPr>
      <w:r w:rsidRPr="00B61936">
        <w:rPr>
          <w:rFonts w:asciiTheme="majorBidi" w:hAnsiTheme="majorBidi" w:cstheme="majorBidi"/>
          <w:b/>
          <w:bCs/>
          <w:color w:val="000080"/>
          <w:sz w:val="18"/>
          <w:szCs w:val="18"/>
          <w:rtl/>
        </w:rPr>
        <w:t>زمن الحج وحكمة اختياره:</w:t>
      </w:r>
    </w:p>
    <w:p w:rsidR="00B96D17" w:rsidRPr="00B61936" w:rsidRDefault="00B96D17" w:rsidP="00B61936">
      <w:pPr>
        <w:pStyle w:val="a3"/>
        <w:widowControl w:val="0"/>
        <w:bidi/>
        <w:spacing w:before="0" w:beforeAutospacing="0" w:after="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عين الإسلام لأداء فريضة الحج أشهرًا معلومة من السنة العربية: شوال، ذو القعدة، ذو الحج، وشوال هو الشهر الذي يعقب رمضان، له في الوضع الإسلامي اعتباران قويان جديران بالتقدير والرعاية، وذلك لما لهما من أثر في استدامة التقويم الخُلقي، والتصفية الروحية، التي حصل عليها المسلم بالصيام والقيام في شهر رمضان، وأول هذين الاعتبارين أن شوال أول شهر من أشهر الحج، </w:t>
      </w:r>
      <w:r w:rsidRPr="00B61936">
        <w:rPr>
          <w:rFonts w:asciiTheme="majorBidi" w:hAnsiTheme="majorBidi" w:cstheme="majorBidi"/>
          <w:b/>
          <w:bCs/>
          <w:sz w:val="18"/>
          <w:szCs w:val="18"/>
          <w:rtl/>
        </w:rPr>
        <w:lastRenderedPageBreak/>
        <w:t>وثانيهما: أنه بشير بالأشهر الحرم: ذي القعدة، ذي الحجة، والمحرم.</w:t>
      </w:r>
    </w:p>
    <w:p w:rsidR="00B96D17" w:rsidRPr="00B61936" w:rsidRDefault="00B96D17" w:rsidP="00B61936">
      <w:pPr>
        <w:pStyle w:val="a3"/>
        <w:widowControl w:val="0"/>
        <w:bidi/>
        <w:spacing w:before="0" w:beforeAutospacing="0" w:after="0" w:afterAutospacing="0"/>
        <w:jc w:val="lowKashida"/>
        <w:rPr>
          <w:rFonts w:asciiTheme="majorBidi" w:hAnsiTheme="majorBidi" w:cstheme="majorBidi"/>
          <w:b/>
          <w:bCs/>
          <w:sz w:val="18"/>
          <w:szCs w:val="18"/>
        </w:rPr>
      </w:pPr>
      <w:r w:rsidRPr="00B61936">
        <w:rPr>
          <w:rFonts w:asciiTheme="majorBidi" w:hAnsiTheme="majorBidi" w:cstheme="majorBidi"/>
          <w:b/>
          <w:bCs/>
          <w:sz w:val="18"/>
          <w:szCs w:val="18"/>
          <w:rtl/>
        </w:rPr>
        <w:t>وقد عُني القرآن الكريم بأشهر الحج عنايته بالحج، كما عني بالأشهر الحرم عنايته بتطهير النفس من المظالم، وكف العدوان والبغي، ولفت أنظار المؤمنين إلى ما لهذه الأشهر كلها من بواعث البر والتقوى، وبواعث الترفع بالنفس.</w:t>
      </w:r>
    </w:p>
    <w:p w:rsidR="00B96D17" w:rsidRPr="00B61936" w:rsidRDefault="00B96D17" w:rsidP="00B61936">
      <w:pPr>
        <w:pStyle w:val="a3"/>
        <w:widowControl w:val="0"/>
        <w:bidi/>
        <w:spacing w:before="0" w:beforeAutospacing="0" w:after="0" w:afterAutospacing="0"/>
        <w:jc w:val="both"/>
        <w:rPr>
          <w:rFonts w:asciiTheme="majorBidi" w:hAnsiTheme="majorBidi" w:cstheme="majorBidi"/>
          <w:b/>
          <w:bCs/>
          <w:sz w:val="18"/>
          <w:szCs w:val="18"/>
        </w:rPr>
      </w:pPr>
      <w:r w:rsidRPr="00B61936">
        <w:rPr>
          <w:rFonts w:asciiTheme="majorBidi" w:hAnsiTheme="majorBidi" w:cstheme="majorBidi"/>
          <w:b/>
          <w:bCs/>
          <w:sz w:val="18"/>
          <w:szCs w:val="18"/>
          <w:rtl/>
        </w:rPr>
        <w:t xml:space="preserve">ففي أشهر الحج يقول الله: </w:t>
      </w:r>
      <w:r w:rsidR="00B61936" w:rsidRPr="00B61936">
        <w:rPr>
          <w:rFonts w:ascii="Tahoma" w:hAnsi="Tahoma" w:cs="DecoType Thuluth" w:hint="cs"/>
          <w:color w:val="008000"/>
          <w:sz w:val="18"/>
          <w:szCs w:val="18"/>
          <w:rtl/>
        </w:rPr>
        <w:t>{</w:t>
      </w:r>
      <w:r w:rsidR="00B61936" w:rsidRPr="00B61936">
        <w:rPr>
          <w:rFonts w:ascii="QCF_P031" w:hAnsi="QCF_P031" w:cs="QCF_P031"/>
          <w:color w:val="008000"/>
          <w:sz w:val="18"/>
          <w:szCs w:val="18"/>
          <w:rtl/>
        </w:rPr>
        <w:t>ﭑ ﭒ ﭓ ﭔ ﭕ ﭖ ﭗ ﭘ ﭙ ﭚ ﭛ ﭜ ﭝ ﭞ ﭟ ﭠ ﭡ ﭢ ﭣ ﭤ ﭥ ﭦ ﭧ ﭨ ﭩ ﭪ ﭫ ﭬ ﭭ ﭮ ﭯ ﭰ ﭱ</w:t>
      </w:r>
      <w:r w:rsidR="00B61936" w:rsidRPr="00B61936">
        <w:rPr>
          <w:rFonts w:ascii="QCF_P031" w:hAnsi="QCF_P031" w:cs="DecoType Thuluth"/>
          <w:color w:val="008000"/>
          <w:sz w:val="18"/>
          <w:szCs w:val="18"/>
          <w:rtl/>
        </w:rPr>
        <w:t>}</w:t>
      </w:r>
      <w:r w:rsidR="00B61936" w:rsidRPr="00B61936">
        <w:rPr>
          <w:rFonts w:ascii="Tahoma" w:hAnsi="Tahoma" w:cs="AL-Hotham" w:hint="cs"/>
          <w:color w:val="008000"/>
          <w:sz w:val="18"/>
          <w:szCs w:val="18"/>
          <w:rtl/>
        </w:rPr>
        <w:t xml:space="preserve"> </w:t>
      </w:r>
      <w:r w:rsidRPr="00B61936">
        <w:rPr>
          <w:rFonts w:asciiTheme="majorBidi" w:hAnsiTheme="majorBidi" w:cstheme="majorBidi"/>
          <w:b/>
          <w:bCs/>
          <w:sz w:val="18"/>
          <w:szCs w:val="18"/>
          <w:rtl/>
        </w:rPr>
        <w:t>[البقرة: 197].</w:t>
      </w:r>
    </w:p>
    <w:p w:rsidR="00B96D17" w:rsidRPr="00B61936" w:rsidRDefault="00B96D17" w:rsidP="00B61936">
      <w:pPr>
        <w:pStyle w:val="a3"/>
        <w:widowControl w:val="0"/>
        <w:bidi/>
        <w:spacing w:before="120" w:beforeAutospacing="0"/>
        <w:jc w:val="lowKashida"/>
        <w:rPr>
          <w:rFonts w:asciiTheme="majorBidi" w:hAnsiTheme="majorBidi" w:cstheme="majorBidi"/>
          <w:b/>
          <w:bCs/>
          <w:color w:val="000080"/>
          <w:sz w:val="18"/>
          <w:szCs w:val="18"/>
        </w:rPr>
      </w:pPr>
      <w:r w:rsidRPr="00B61936">
        <w:rPr>
          <w:rFonts w:asciiTheme="majorBidi" w:hAnsiTheme="majorBidi" w:cstheme="majorBidi"/>
          <w:b/>
          <w:bCs/>
          <w:color w:val="000080"/>
          <w:sz w:val="18"/>
          <w:szCs w:val="18"/>
          <w:rtl/>
        </w:rPr>
        <w:t>حكمة الحج:</w:t>
      </w:r>
    </w:p>
    <w:p w:rsidR="00B96D17" w:rsidRPr="00B61936" w:rsidRDefault="00B96D17" w:rsidP="00B61936">
      <w:pPr>
        <w:pStyle w:val="a3"/>
        <w:bidi/>
        <w:spacing w:before="0" w:beforeAutospacing="0" w:after="120" w:afterAutospacing="0"/>
        <w:jc w:val="lowKashida"/>
        <w:rPr>
          <w:rFonts w:asciiTheme="majorBidi" w:hAnsiTheme="majorBidi" w:cstheme="majorBidi"/>
          <w:b/>
          <w:bCs/>
          <w:sz w:val="18"/>
          <w:szCs w:val="18"/>
          <w:rtl/>
        </w:rPr>
      </w:pPr>
      <w:r w:rsidRPr="00B61936">
        <w:rPr>
          <w:rFonts w:asciiTheme="majorBidi" w:hAnsiTheme="majorBidi" w:cstheme="majorBidi"/>
          <w:b/>
          <w:bCs/>
          <w:sz w:val="18"/>
          <w:szCs w:val="18"/>
          <w:rtl/>
        </w:rPr>
        <w:t xml:space="preserve">بيَّن القرآن الكريم حكمة الحج في قوله تعالى: </w:t>
      </w:r>
      <w:r w:rsidR="00B61936" w:rsidRPr="00B61936">
        <w:rPr>
          <w:rFonts w:ascii="Tahoma" w:hAnsi="Tahoma" w:cs="DecoType Thuluth" w:hint="cs"/>
          <w:color w:val="008000"/>
          <w:sz w:val="18"/>
          <w:szCs w:val="18"/>
          <w:rtl/>
        </w:rPr>
        <w:t>{</w:t>
      </w:r>
      <w:r w:rsidR="00B61936" w:rsidRPr="00B61936">
        <w:rPr>
          <w:rFonts w:ascii="QCF_P335" w:hAnsi="QCF_P335" w:cs="QCF_P335"/>
          <w:color w:val="008000"/>
          <w:sz w:val="18"/>
          <w:szCs w:val="18"/>
          <w:rtl/>
        </w:rPr>
        <w:t>ﮇ ﮈ ﮉ ﮊ ﮋ ﮌ ﮍ ﮎ ﮏ ﮐ ﮑ ﮒ ﮓ ﮔ ﮕﮖ ﮗ ﮘ ﮙ ﮚ ﮛ ﮜ ﮝ ﮞ ﮟ ﮠ ﮡ ﮢ ﮣ ﮤ ﮥ ﮦ ﮧ ﮨ ﮩ ﮪ ﮫﮬ ﮭ ﮮ ﮯ ﮰ ﮱ ﯓ ﯔ</w:t>
      </w:r>
      <w:r w:rsidR="00B61936" w:rsidRPr="00B61936">
        <w:rPr>
          <w:rFonts w:ascii="QCF_P335" w:hAnsi="QCF_P335" w:cs="DecoType Thuluth"/>
          <w:color w:val="008000"/>
          <w:sz w:val="18"/>
          <w:szCs w:val="18"/>
          <w:rtl/>
        </w:rPr>
        <w:t>}</w:t>
      </w:r>
      <w:r w:rsidR="00B61936" w:rsidRPr="00B61936">
        <w:rPr>
          <w:rFonts w:ascii="Tahoma" w:hAnsi="Tahoma" w:cs="AL-Hotham" w:hint="cs"/>
          <w:color w:val="008000"/>
          <w:sz w:val="18"/>
          <w:szCs w:val="18"/>
          <w:rtl/>
        </w:rPr>
        <w:t xml:space="preserve"> </w:t>
      </w:r>
      <w:r w:rsidRPr="00B61936">
        <w:rPr>
          <w:rFonts w:asciiTheme="majorBidi" w:hAnsiTheme="majorBidi" w:cstheme="majorBidi"/>
          <w:b/>
          <w:bCs/>
          <w:sz w:val="18"/>
          <w:szCs w:val="18"/>
          <w:rtl/>
        </w:rPr>
        <w:t>[الحج: 27: 29].</w:t>
      </w:r>
    </w:p>
    <w:p w:rsidR="00B96D17" w:rsidRPr="00B61936" w:rsidRDefault="00B96D17" w:rsidP="00B61936">
      <w:pPr>
        <w:spacing w:line="240" w:lineRule="auto"/>
        <w:jc w:val="center"/>
        <w:rPr>
          <w:rFonts w:asciiTheme="majorBidi" w:hAnsiTheme="majorBidi" w:cstheme="majorBidi"/>
          <w:b/>
          <w:bCs/>
          <w:sz w:val="18"/>
          <w:szCs w:val="18"/>
          <w:rtl/>
          <w:lang w:bidi="ar-EG"/>
        </w:rPr>
      </w:pPr>
      <w:r w:rsidRPr="00B61936">
        <w:rPr>
          <w:rFonts w:asciiTheme="majorBidi" w:hAnsiTheme="majorBidi" w:cstheme="majorBidi"/>
          <w:b/>
          <w:bCs/>
          <w:sz w:val="18"/>
          <w:szCs w:val="18"/>
          <w:rtl/>
          <w:lang w:bidi="ar-EG"/>
        </w:rPr>
        <w:t>المراجع والمصادر</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عبد الستار فتح الله سعيد، التفسير الموضوعي ، مطبعة مكتبة الدعوة، 1987م.</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tl/>
        </w:rPr>
      </w:pPr>
      <w:r w:rsidRPr="00B61936">
        <w:rPr>
          <w:rFonts w:asciiTheme="majorBidi" w:hAnsiTheme="majorBidi" w:cstheme="majorBidi"/>
          <w:b/>
          <w:bCs/>
          <w:sz w:val="18"/>
          <w:szCs w:val="18"/>
          <w:rtl/>
        </w:rPr>
        <w:t xml:space="preserve">محمد السيد الكومي، التفسير الموضوعي </w:t>
      </w:r>
      <w:r w:rsidRPr="00B61936">
        <w:rPr>
          <w:rFonts w:asciiTheme="majorBidi" w:hAnsiTheme="majorBidi" w:cstheme="majorBidi"/>
          <w:b/>
          <w:bCs/>
          <w:sz w:val="18"/>
          <w:szCs w:val="18"/>
          <w:rtl/>
          <w:lang w:bidi="ar-EG"/>
        </w:rPr>
        <w:t xml:space="preserve"> </w:t>
      </w:r>
      <w:r w:rsidRPr="00B61936">
        <w:rPr>
          <w:rFonts w:asciiTheme="majorBidi" w:hAnsiTheme="majorBidi" w:cstheme="majorBidi"/>
          <w:b/>
          <w:bCs/>
          <w:sz w:val="18"/>
          <w:szCs w:val="18"/>
          <w:rtl/>
        </w:rPr>
        <w:t>مطبعة الأزهرية، 1967م.</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ابن أبي العز الحنفي، شرح العقيدة الطحاوية ،بيروت، المكتب الإسلامي، 1391هـ</w:t>
      </w:r>
      <w:r w:rsidRPr="00B61936">
        <w:rPr>
          <w:rFonts w:asciiTheme="majorBidi" w:hAnsiTheme="majorBidi" w:cstheme="majorBidi"/>
          <w:b/>
          <w:bCs/>
          <w:sz w:val="18"/>
          <w:szCs w:val="18"/>
          <w:rtl/>
          <w:lang w:bidi="ar-EG"/>
        </w:rPr>
        <w:t>.</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محمد علي الفقي،فقه المعاملات:  دراسة مقارنة ،مجموعة النيل العربية، 2000م.</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مُوفَّق الدين أبو محمد عبد الله بن أحمد بن محمد بن</w:t>
      </w:r>
      <w:r w:rsidRPr="00B61936">
        <w:rPr>
          <w:rFonts w:asciiTheme="majorBidi" w:hAnsiTheme="majorBidi" w:cstheme="majorBidi"/>
          <w:b/>
          <w:bCs/>
          <w:sz w:val="18"/>
          <w:szCs w:val="18"/>
        </w:rPr>
        <w:t xml:space="preserve"> </w:t>
      </w:r>
      <w:r w:rsidRPr="00B61936">
        <w:rPr>
          <w:rFonts w:asciiTheme="majorBidi" w:hAnsiTheme="majorBidi" w:cstheme="majorBidi"/>
          <w:b/>
          <w:bCs/>
          <w:sz w:val="18"/>
          <w:szCs w:val="18"/>
          <w:rtl/>
        </w:rPr>
        <w:t>قدامة المقدسي الجمّاعيلي الدّمشقي الصالحي الحنبلي،المغني ،1999م.</w:t>
      </w:r>
    </w:p>
    <w:p w:rsidR="00B96D17" w:rsidRPr="00B61936" w:rsidRDefault="00B96D17" w:rsidP="00B61936">
      <w:pPr>
        <w:numPr>
          <w:ilvl w:val="0"/>
          <w:numId w:val="1"/>
        </w:numPr>
        <w:spacing w:after="120" w:line="240" w:lineRule="auto"/>
        <w:ind w:left="510"/>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أبو بكر بن العربي، أحكام القرآن </w:t>
      </w:r>
      <w:r w:rsidRPr="00B61936">
        <w:rPr>
          <w:rFonts w:asciiTheme="majorBidi" w:hAnsiTheme="majorBidi" w:cstheme="majorBidi"/>
          <w:b/>
          <w:bCs/>
          <w:sz w:val="18"/>
          <w:szCs w:val="18"/>
          <w:rtl/>
          <w:lang w:bidi="ar-EG"/>
        </w:rPr>
        <w:t>،</w:t>
      </w:r>
      <w:r w:rsidRPr="00B61936">
        <w:rPr>
          <w:rFonts w:asciiTheme="majorBidi" w:hAnsiTheme="majorBidi" w:cstheme="majorBidi"/>
          <w:b/>
          <w:bCs/>
          <w:sz w:val="18"/>
          <w:szCs w:val="18"/>
          <w:rtl/>
        </w:rPr>
        <w:t>تحقيق محمد عبد القادر عطا، دار الكتب العلمية، 1996م.</w:t>
      </w:r>
    </w:p>
    <w:p w:rsidR="00B96D17" w:rsidRPr="00B61936" w:rsidRDefault="00B96D17" w:rsidP="00B61936">
      <w:pPr>
        <w:pStyle w:val="a5"/>
        <w:numPr>
          <w:ilvl w:val="0"/>
          <w:numId w:val="1"/>
        </w:numPr>
        <w:spacing w:after="120" w:line="240" w:lineRule="auto"/>
        <w:jc w:val="lowKashida"/>
        <w:rPr>
          <w:rFonts w:asciiTheme="majorBidi" w:hAnsiTheme="majorBidi" w:cstheme="majorBidi"/>
          <w:b/>
          <w:bCs/>
          <w:sz w:val="18"/>
          <w:szCs w:val="18"/>
        </w:rPr>
      </w:pPr>
      <w:r w:rsidRPr="00B61936">
        <w:rPr>
          <w:rFonts w:asciiTheme="majorBidi" w:hAnsiTheme="majorBidi" w:cstheme="majorBidi"/>
          <w:b/>
          <w:bCs/>
          <w:sz w:val="18"/>
          <w:szCs w:val="18"/>
          <w:rtl/>
        </w:rPr>
        <w:t>أبو بكر أحمد الجصاص، أحكام القرآنبيروت، دار الكتب العلمية، 1993م.</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tl/>
        </w:rPr>
      </w:pPr>
      <w:r w:rsidRPr="00B61936">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Pr>
      </w:pPr>
      <w:r w:rsidRPr="00B61936">
        <w:rPr>
          <w:rFonts w:asciiTheme="majorBidi" w:hAnsiTheme="majorBidi" w:cstheme="majorBidi"/>
          <w:b/>
          <w:bCs/>
          <w:sz w:val="18"/>
          <w:szCs w:val="18"/>
          <w:rtl/>
        </w:rPr>
        <w:t>عماد الدين أبو الفداء إسماعيل بن كثير القرشي</w:t>
      </w:r>
      <w:r w:rsidRPr="00B61936">
        <w:rPr>
          <w:rFonts w:asciiTheme="majorBidi" w:hAnsiTheme="majorBidi" w:cstheme="majorBidi"/>
          <w:b/>
          <w:bCs/>
          <w:sz w:val="18"/>
          <w:szCs w:val="18"/>
        </w:rPr>
        <w:t xml:space="preserve"> </w:t>
      </w:r>
      <w:r w:rsidRPr="00B61936">
        <w:rPr>
          <w:rFonts w:asciiTheme="majorBidi" w:hAnsiTheme="majorBidi" w:cstheme="majorBidi"/>
          <w:b/>
          <w:bCs/>
          <w:sz w:val="18"/>
          <w:szCs w:val="18"/>
          <w:rtl/>
        </w:rPr>
        <w:t>الدمشقي,  تفسير القرآن العظيم ،</w:t>
      </w:r>
      <w:r w:rsidRPr="00B61936">
        <w:rPr>
          <w:rFonts w:asciiTheme="majorBidi" w:hAnsiTheme="majorBidi" w:cstheme="majorBidi"/>
          <w:b/>
          <w:bCs/>
          <w:sz w:val="18"/>
          <w:szCs w:val="18"/>
          <w:rtl/>
          <w:lang w:bidi="ar-EG"/>
        </w:rPr>
        <w:t xml:space="preserve"> </w:t>
      </w:r>
      <w:r w:rsidRPr="00B61936">
        <w:rPr>
          <w:rFonts w:asciiTheme="majorBidi" w:hAnsiTheme="majorBidi" w:cstheme="majorBidi"/>
          <w:b/>
          <w:bCs/>
          <w:sz w:val="18"/>
          <w:szCs w:val="18"/>
          <w:rtl/>
        </w:rPr>
        <w:t>دار الراية للنشر والتوزيع، 1993م.</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tl/>
        </w:rPr>
      </w:pPr>
      <w:r w:rsidRPr="00B61936">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B61936">
        <w:rPr>
          <w:rFonts w:asciiTheme="majorBidi" w:hAnsiTheme="majorBidi" w:cstheme="majorBidi"/>
          <w:b/>
          <w:bCs/>
          <w:sz w:val="18"/>
          <w:szCs w:val="18"/>
          <w:rtl/>
          <w:lang w:bidi="ar-EG"/>
        </w:rPr>
        <w:t>،</w:t>
      </w:r>
      <w:r w:rsidRPr="00B61936">
        <w:rPr>
          <w:rFonts w:asciiTheme="majorBidi" w:hAnsiTheme="majorBidi" w:cstheme="majorBidi"/>
          <w:b/>
          <w:bCs/>
          <w:sz w:val="18"/>
          <w:szCs w:val="18"/>
          <w:rtl/>
        </w:rPr>
        <w:t>دار المعرفة للطباعة والنشر، 1999م.</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tl/>
        </w:rPr>
      </w:pPr>
      <w:r w:rsidRPr="00B61936">
        <w:rPr>
          <w:rFonts w:asciiTheme="majorBidi" w:hAnsiTheme="majorBidi" w:cstheme="majorBidi"/>
          <w:b/>
          <w:bCs/>
          <w:sz w:val="18"/>
          <w:szCs w:val="18"/>
          <w:rtl/>
        </w:rPr>
        <w:t>عمر عبد العزيز المترك، الربا والمعاملات المعاصرة، دار العاصمة،  1417هـ.</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Pr>
      </w:pPr>
      <w:r w:rsidRPr="00B61936">
        <w:rPr>
          <w:rFonts w:asciiTheme="majorBidi" w:hAnsiTheme="majorBidi" w:cstheme="majorBidi"/>
          <w:b/>
          <w:bCs/>
          <w:sz w:val="18"/>
          <w:szCs w:val="18"/>
          <w:rtl/>
        </w:rPr>
        <w:t xml:space="preserve">عباس محمود العقاد، حقائق الإسلام وأباطيل خصومه </w:t>
      </w:r>
      <w:r w:rsidRPr="00B61936">
        <w:rPr>
          <w:rFonts w:asciiTheme="majorBidi" w:hAnsiTheme="majorBidi" w:cstheme="majorBidi"/>
          <w:b/>
          <w:bCs/>
          <w:sz w:val="18"/>
          <w:szCs w:val="18"/>
          <w:rtl/>
          <w:lang w:bidi="ar-EG"/>
        </w:rPr>
        <w:t>،</w:t>
      </w:r>
      <w:r w:rsidRPr="00B61936">
        <w:rPr>
          <w:rFonts w:asciiTheme="majorBidi" w:hAnsiTheme="majorBidi" w:cstheme="majorBidi"/>
          <w:b/>
          <w:bCs/>
          <w:sz w:val="18"/>
          <w:szCs w:val="18"/>
          <w:rtl/>
        </w:rPr>
        <w:t>مصر، دار نهضة، 1957م.</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Pr>
      </w:pPr>
      <w:r w:rsidRPr="00B61936">
        <w:rPr>
          <w:rFonts w:asciiTheme="majorBidi" w:hAnsiTheme="majorBidi" w:cstheme="majorBidi"/>
          <w:b/>
          <w:bCs/>
          <w:sz w:val="18"/>
          <w:szCs w:val="18"/>
          <w:rtl/>
        </w:rPr>
        <w:lastRenderedPageBreak/>
        <w:t xml:space="preserve">الشَّريف حمدان راجح الهجاري،  قواعد الدعوة الإسلامية </w:t>
      </w:r>
      <w:r w:rsidRPr="00B61936">
        <w:rPr>
          <w:rFonts w:asciiTheme="majorBidi" w:hAnsiTheme="majorBidi" w:cstheme="majorBidi"/>
          <w:b/>
          <w:bCs/>
          <w:sz w:val="18"/>
          <w:szCs w:val="18"/>
          <w:rtl/>
          <w:lang w:bidi="ar-EG"/>
        </w:rPr>
        <w:t xml:space="preserve">، </w:t>
      </w:r>
      <w:r w:rsidRPr="00B61936">
        <w:rPr>
          <w:rFonts w:asciiTheme="majorBidi" w:hAnsiTheme="majorBidi" w:cstheme="majorBidi"/>
          <w:b/>
          <w:bCs/>
          <w:sz w:val="18"/>
          <w:szCs w:val="18"/>
          <w:rtl/>
        </w:rPr>
        <w:t>القاهرة، مطابع ابن تيمية، 1413هـ.</w:t>
      </w:r>
    </w:p>
    <w:p w:rsidR="00B96D17" w:rsidRPr="00B61936" w:rsidRDefault="00B96D17" w:rsidP="00B61936">
      <w:pPr>
        <w:numPr>
          <w:ilvl w:val="0"/>
          <w:numId w:val="1"/>
        </w:numPr>
        <w:spacing w:after="120" w:line="240" w:lineRule="auto"/>
        <w:jc w:val="lowKashida"/>
        <w:rPr>
          <w:rFonts w:asciiTheme="majorBidi" w:hAnsiTheme="majorBidi" w:cstheme="majorBidi"/>
          <w:b/>
          <w:bCs/>
          <w:sz w:val="18"/>
          <w:szCs w:val="18"/>
          <w:rtl/>
        </w:rPr>
      </w:pPr>
      <w:r w:rsidRPr="00B61936">
        <w:rPr>
          <w:rFonts w:asciiTheme="majorBidi" w:hAnsiTheme="majorBidi" w:cstheme="majorBidi"/>
          <w:b/>
          <w:bCs/>
          <w:sz w:val="18"/>
          <w:szCs w:val="18"/>
          <w:rtl/>
        </w:rPr>
        <w:lastRenderedPageBreak/>
        <w:t>محمد ربيع المدخلي،منهج الأنبياء في الدعوة إلى الله فيه الحكمة والعقل،المطبعة السلفية، 1993م.</w:t>
      </w:r>
    </w:p>
    <w:p w:rsidR="00B96D17" w:rsidRPr="00B61936" w:rsidRDefault="00B96D17" w:rsidP="00B61936">
      <w:pPr>
        <w:pStyle w:val="a3"/>
        <w:bidi/>
        <w:spacing w:before="0" w:beforeAutospacing="0" w:after="120" w:afterAutospacing="0"/>
        <w:jc w:val="lowKashida"/>
        <w:rPr>
          <w:rFonts w:asciiTheme="majorBidi" w:hAnsiTheme="majorBidi" w:cstheme="majorBidi"/>
          <w:sz w:val="18"/>
          <w:szCs w:val="18"/>
          <w:rtl/>
        </w:rPr>
        <w:sectPr w:rsidR="00B96D17" w:rsidRPr="00B61936" w:rsidSect="00B96D17">
          <w:type w:val="continuous"/>
          <w:pgSz w:w="11906" w:h="16838"/>
          <w:pgMar w:top="964" w:right="1021" w:bottom="964" w:left="1021" w:header="709" w:footer="709" w:gutter="0"/>
          <w:cols w:num="2" w:space="708"/>
          <w:bidi/>
          <w:rtlGutter/>
          <w:docGrid w:linePitch="360"/>
        </w:sectPr>
      </w:pPr>
    </w:p>
    <w:p w:rsidR="00B96D17" w:rsidRPr="00B61936" w:rsidRDefault="00B96D17" w:rsidP="00B61936">
      <w:pPr>
        <w:pStyle w:val="a3"/>
        <w:bidi/>
        <w:spacing w:before="0" w:beforeAutospacing="0" w:after="120" w:afterAutospacing="0"/>
        <w:jc w:val="lowKashida"/>
        <w:rPr>
          <w:rFonts w:asciiTheme="majorBidi" w:hAnsiTheme="majorBidi" w:cstheme="majorBidi"/>
          <w:sz w:val="18"/>
          <w:szCs w:val="18"/>
          <w:rtl/>
        </w:rPr>
      </w:pPr>
    </w:p>
    <w:p w:rsidR="00B96D17" w:rsidRPr="00B61936" w:rsidRDefault="00B96D17" w:rsidP="00B61936">
      <w:pPr>
        <w:spacing w:line="240" w:lineRule="auto"/>
        <w:rPr>
          <w:rFonts w:asciiTheme="majorBidi" w:hAnsiTheme="majorBidi" w:cstheme="majorBidi"/>
          <w:i/>
          <w:iCs/>
          <w:sz w:val="18"/>
          <w:szCs w:val="18"/>
          <w:rtl/>
          <w:lang w:bidi="ar-EG"/>
        </w:rPr>
      </w:pPr>
    </w:p>
    <w:p w:rsidR="00B96D17" w:rsidRPr="00B61936" w:rsidRDefault="00B96D17" w:rsidP="00B61936">
      <w:pPr>
        <w:spacing w:line="240" w:lineRule="auto"/>
        <w:jc w:val="center"/>
        <w:rPr>
          <w:rFonts w:asciiTheme="majorBidi" w:hAnsiTheme="majorBidi" w:cstheme="majorBidi"/>
          <w:i/>
          <w:iCs/>
          <w:sz w:val="18"/>
          <w:szCs w:val="18"/>
        </w:rPr>
      </w:pPr>
    </w:p>
    <w:p w:rsidR="00B96D17" w:rsidRPr="00B61936" w:rsidRDefault="00B96D17" w:rsidP="00B61936">
      <w:pPr>
        <w:spacing w:after="120" w:line="240" w:lineRule="auto"/>
        <w:jc w:val="center"/>
        <w:rPr>
          <w:rFonts w:asciiTheme="majorBidi" w:hAnsiTheme="majorBidi" w:cstheme="majorBidi"/>
          <w:i/>
          <w:iCs/>
          <w:sz w:val="18"/>
          <w:szCs w:val="18"/>
          <w:rtl/>
        </w:rPr>
      </w:pPr>
    </w:p>
    <w:p w:rsidR="00B96D17" w:rsidRPr="00B96D17" w:rsidRDefault="00B96D17" w:rsidP="00B96D17">
      <w:pPr>
        <w:jc w:val="center"/>
        <w:rPr>
          <w:rFonts w:asciiTheme="majorBidi" w:hAnsiTheme="majorBidi" w:cstheme="majorBidi"/>
          <w:i/>
          <w:iCs/>
          <w:sz w:val="48"/>
          <w:szCs w:val="48"/>
        </w:rPr>
      </w:pPr>
    </w:p>
    <w:sectPr w:rsidR="00B96D17" w:rsidRPr="00B96D17" w:rsidSect="00B96D17">
      <w:type w:val="continuous"/>
      <w:pgSz w:w="11906" w:h="16838"/>
      <w:pgMar w:top="964" w:right="1021" w:bottom="964"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E4B" w:rsidRDefault="00A22E4B" w:rsidP="009C03D7">
      <w:pPr>
        <w:spacing w:after="0" w:line="240" w:lineRule="auto"/>
      </w:pPr>
      <w:r>
        <w:separator/>
      </w:r>
    </w:p>
  </w:endnote>
  <w:endnote w:type="continuationSeparator" w:id="1">
    <w:p w:rsidR="00A22E4B" w:rsidRDefault="00A22E4B" w:rsidP="009C0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20">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31">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E4B" w:rsidRDefault="00A22E4B" w:rsidP="009C03D7">
      <w:pPr>
        <w:spacing w:after="0" w:line="240" w:lineRule="auto"/>
      </w:pPr>
      <w:r>
        <w:separator/>
      </w:r>
    </w:p>
  </w:footnote>
  <w:footnote w:type="continuationSeparator" w:id="1">
    <w:p w:rsidR="00A22E4B" w:rsidRDefault="00A22E4B" w:rsidP="009C03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01C39"/>
    <w:multiLevelType w:val="hybridMultilevel"/>
    <w:tmpl w:val="DB74B0C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B96D17"/>
    <w:rsid w:val="00360816"/>
    <w:rsid w:val="004D6586"/>
    <w:rsid w:val="00514443"/>
    <w:rsid w:val="00616060"/>
    <w:rsid w:val="009556CB"/>
    <w:rsid w:val="009C03D7"/>
    <w:rsid w:val="00A22E4B"/>
    <w:rsid w:val="00B272DB"/>
    <w:rsid w:val="00B61936"/>
    <w:rsid w:val="00B96D17"/>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6D17"/>
    <w:rPr>
      <w:color w:val="0000FF" w:themeColor="hyperlink"/>
      <w:u w:val="single"/>
    </w:rPr>
  </w:style>
  <w:style w:type="paragraph" w:styleId="a3">
    <w:name w:val="Normal (Web)"/>
    <w:basedOn w:val="a"/>
    <w:rsid w:val="00B96D1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B96D1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B96D17"/>
    <w:rPr>
      <w:rFonts w:ascii="Times New Roman" w:eastAsia="Times New Roman" w:hAnsi="Times New Roman" w:cs="Times New Roman"/>
      <w:sz w:val="24"/>
      <w:szCs w:val="24"/>
    </w:rPr>
  </w:style>
  <w:style w:type="paragraph" w:styleId="a5">
    <w:name w:val="List Paragraph"/>
    <w:basedOn w:val="a"/>
    <w:uiPriority w:val="34"/>
    <w:qFormat/>
    <w:rsid w:val="00B96D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2013-06-10T10:48:00Z</dcterms:created>
  <dcterms:modified xsi:type="dcterms:W3CDTF">2013-06-19T06:34:00Z</dcterms:modified>
</cp:coreProperties>
</file>