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6CB" w:rsidRDefault="0076009D" w:rsidP="0076009D">
      <w:pPr>
        <w:spacing w:line="240" w:lineRule="auto"/>
        <w:jc w:val="center"/>
        <w:rPr>
          <w:i/>
          <w:iCs/>
          <w:rtl/>
        </w:rPr>
      </w:pPr>
      <w:r>
        <w:rPr>
          <w:rFonts w:ascii="Calibri" w:eastAsia="Calibri" w:hAnsi="Calibri" w:cs="AL-Hotham" w:hint="cs"/>
          <w:i/>
          <w:iCs/>
          <w:sz w:val="48"/>
          <w:szCs w:val="48"/>
          <w:rtl/>
        </w:rPr>
        <w:t xml:space="preserve">تعريف </w:t>
      </w:r>
      <w:r w:rsidR="00742028" w:rsidRPr="00742028">
        <w:rPr>
          <w:rFonts w:ascii="Calibri" w:eastAsia="Calibri" w:hAnsi="Calibri" w:cs="AL-Hotham"/>
          <w:i/>
          <w:iCs/>
          <w:sz w:val="48"/>
          <w:szCs w:val="48"/>
          <w:rtl/>
        </w:rPr>
        <w:t>المقابلة، وصورها</w:t>
      </w:r>
    </w:p>
    <w:p w:rsidR="00742028" w:rsidRPr="00E87483" w:rsidRDefault="00742028" w:rsidP="00742028">
      <w:pPr>
        <w:spacing w:line="240" w:lineRule="auto"/>
        <w:jc w:val="center"/>
        <w:rPr>
          <w:rFonts w:asciiTheme="majorBidi" w:hAnsiTheme="majorBidi" w:cs="AL-Hotham"/>
          <w:i/>
          <w:iCs/>
          <w:sz w:val="28"/>
          <w:szCs w:val="28"/>
          <w:rtl/>
        </w:rPr>
      </w:pPr>
      <w:r w:rsidRPr="00E87483">
        <w:rPr>
          <w:rFonts w:asciiTheme="majorBidi" w:hAnsiTheme="majorBidi" w:cs="AL-Hotham"/>
          <w:i/>
          <w:iCs/>
          <w:sz w:val="28"/>
          <w:szCs w:val="28"/>
          <w:rtl/>
        </w:rPr>
        <w:t xml:space="preserve">بحث  فى </w:t>
      </w:r>
      <w:r w:rsidRPr="00E87483">
        <w:rPr>
          <w:rFonts w:asciiTheme="majorBidi" w:hAnsiTheme="majorBidi" w:cs="AL-Hotham" w:hint="cs"/>
          <w:i/>
          <w:iCs/>
          <w:sz w:val="28"/>
          <w:szCs w:val="28"/>
          <w:rtl/>
        </w:rPr>
        <w:t>دراسات بلاغيه</w:t>
      </w:r>
    </w:p>
    <w:p w:rsidR="00742028" w:rsidRPr="00E87483" w:rsidRDefault="00742028" w:rsidP="0076009D">
      <w:pPr>
        <w:spacing w:line="240" w:lineRule="auto"/>
        <w:jc w:val="center"/>
        <w:rPr>
          <w:rFonts w:asciiTheme="majorBidi" w:hAnsiTheme="majorBidi" w:cs="AL-Hotham"/>
        </w:rPr>
      </w:pPr>
      <w:r w:rsidRPr="00E87483">
        <w:rPr>
          <w:rFonts w:asciiTheme="majorBidi" w:hAnsiTheme="majorBidi" w:cs="AL-Hotham"/>
          <w:rtl/>
        </w:rPr>
        <w:t xml:space="preserve">إعداد أ/ </w:t>
      </w:r>
      <w:r w:rsidR="0076009D" w:rsidRPr="0076009D">
        <w:rPr>
          <w:rFonts w:asciiTheme="majorBidi" w:hAnsiTheme="majorBidi" w:cs="AL-Hotham"/>
          <w:i/>
          <w:iCs/>
          <w:rtl/>
          <w:lang w:bidi="ar-EG"/>
        </w:rPr>
        <w:t>محمد سعد حسن</w:t>
      </w:r>
    </w:p>
    <w:p w:rsidR="00742028" w:rsidRPr="00E87483" w:rsidRDefault="00742028" w:rsidP="00742028">
      <w:pPr>
        <w:spacing w:line="240" w:lineRule="auto"/>
        <w:jc w:val="center"/>
        <w:rPr>
          <w:rFonts w:asciiTheme="majorBidi" w:hAnsiTheme="majorBidi" w:cs="AL-Hotham"/>
          <w:i/>
          <w:iCs/>
          <w:sz w:val="20"/>
          <w:szCs w:val="20"/>
        </w:rPr>
      </w:pPr>
      <w:r w:rsidRPr="00E87483">
        <w:rPr>
          <w:rFonts w:asciiTheme="majorBidi" w:hAnsiTheme="majorBidi" w:cs="AL-Hotham"/>
          <w:i/>
          <w:iCs/>
          <w:sz w:val="20"/>
          <w:szCs w:val="20"/>
          <w:rtl/>
        </w:rPr>
        <w:t>قسم اللغة العربية</w:t>
      </w:r>
    </w:p>
    <w:p w:rsidR="00742028" w:rsidRPr="00E87483" w:rsidRDefault="00742028" w:rsidP="00742028">
      <w:pPr>
        <w:spacing w:line="240" w:lineRule="auto"/>
        <w:jc w:val="center"/>
        <w:rPr>
          <w:rFonts w:asciiTheme="majorBidi" w:hAnsiTheme="majorBidi" w:cs="AL-Hotham"/>
          <w:i/>
          <w:iCs/>
          <w:sz w:val="20"/>
          <w:szCs w:val="20"/>
        </w:rPr>
      </w:pPr>
      <w:r w:rsidRPr="00E87483">
        <w:rPr>
          <w:rFonts w:asciiTheme="majorBidi" w:hAnsiTheme="majorBidi" w:cs="AL-Hotham"/>
          <w:i/>
          <w:iCs/>
          <w:sz w:val="20"/>
          <w:szCs w:val="20"/>
          <w:rtl/>
        </w:rPr>
        <w:t>كلية اللغات – جامعة المدينة العالمية</w:t>
      </w:r>
    </w:p>
    <w:p w:rsidR="00742028" w:rsidRPr="00E87483" w:rsidRDefault="00742028" w:rsidP="00742028">
      <w:pPr>
        <w:spacing w:line="240" w:lineRule="auto"/>
        <w:jc w:val="center"/>
        <w:rPr>
          <w:rFonts w:asciiTheme="majorBidi" w:hAnsiTheme="majorBidi" w:cs="AL-Hotham"/>
          <w:i/>
          <w:iCs/>
          <w:sz w:val="20"/>
          <w:szCs w:val="20"/>
          <w:rtl/>
        </w:rPr>
      </w:pPr>
      <w:r w:rsidRPr="00E87483">
        <w:rPr>
          <w:rFonts w:asciiTheme="majorBidi" w:hAnsiTheme="majorBidi" w:cs="AL-Hotham"/>
          <w:i/>
          <w:iCs/>
          <w:sz w:val="20"/>
          <w:szCs w:val="20"/>
          <w:rtl/>
        </w:rPr>
        <w:t>شاه علم – ماليزيا</w:t>
      </w:r>
    </w:p>
    <w:p w:rsidR="00742028" w:rsidRPr="00E87483" w:rsidRDefault="0076009D" w:rsidP="00742028">
      <w:pPr>
        <w:spacing w:line="240" w:lineRule="auto"/>
        <w:jc w:val="center"/>
        <w:rPr>
          <w:rFonts w:asciiTheme="majorBidi" w:hAnsiTheme="majorBidi" w:cs="AL-Hotham"/>
          <w:i/>
          <w:iCs/>
          <w:sz w:val="20"/>
          <w:szCs w:val="20"/>
        </w:rPr>
      </w:pPr>
      <w:r w:rsidRPr="0076009D">
        <w:rPr>
          <w:rFonts w:asciiTheme="majorBidi" w:hAnsiTheme="majorBidi" w:cs="AL-Hotham"/>
          <w:i/>
          <w:iCs/>
          <w:lang w:bidi="ar-EG"/>
        </w:rPr>
        <w:t>mohamad.saad@mediu.ws</w:t>
      </w:r>
    </w:p>
    <w:p w:rsidR="00742028" w:rsidRDefault="00742028" w:rsidP="00742028">
      <w:pPr>
        <w:spacing w:after="120" w:line="240" w:lineRule="auto"/>
        <w:jc w:val="lowKashida"/>
        <w:rPr>
          <w:rFonts w:asciiTheme="majorBidi" w:hAnsiTheme="majorBidi" w:cs="AL-Hotham"/>
          <w:b/>
          <w:bCs/>
          <w:sz w:val="20"/>
          <w:szCs w:val="20"/>
          <w:rtl/>
        </w:rPr>
        <w:sectPr w:rsidR="00742028" w:rsidSect="00BF7572">
          <w:pgSz w:w="11906" w:h="16838"/>
          <w:pgMar w:top="964" w:right="1021" w:bottom="964" w:left="1021" w:header="709" w:footer="709" w:gutter="0"/>
          <w:cols w:space="708"/>
          <w:bidi/>
          <w:rtlGutter/>
          <w:docGrid w:linePitch="360"/>
        </w:sectPr>
      </w:pPr>
    </w:p>
    <w:p w:rsidR="00742028" w:rsidRPr="00742028" w:rsidRDefault="00742028" w:rsidP="00742028">
      <w:pPr>
        <w:spacing w:after="120" w:line="240" w:lineRule="auto"/>
        <w:jc w:val="lowKashida"/>
        <w:rPr>
          <w:rFonts w:asciiTheme="majorBidi" w:hAnsiTheme="majorBidi" w:cs="AL-Hotham"/>
          <w:b/>
          <w:bCs/>
          <w:sz w:val="20"/>
          <w:szCs w:val="20"/>
          <w:rtl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</w:rPr>
        <w:lastRenderedPageBreak/>
        <w:t>خلاصة</w:t>
      </w:r>
      <w:r w:rsidRPr="00742028">
        <w:rPr>
          <w:rFonts w:asciiTheme="majorBidi" w:hAnsiTheme="majorBidi" w:cs="AL-Hotham" w:hint="cs"/>
          <w:b/>
          <w:bCs/>
          <w:sz w:val="20"/>
          <w:szCs w:val="20"/>
          <w:rtl/>
        </w:rPr>
        <w:t xml:space="preserve"> ـــ</w:t>
      </w:r>
      <w:r w:rsidRPr="00742028">
        <w:rPr>
          <w:rFonts w:asciiTheme="majorBidi" w:hAnsiTheme="majorBidi" w:cs="AL-Hotham"/>
          <w:b/>
          <w:bCs/>
          <w:sz w:val="20"/>
          <w:szCs w:val="20"/>
          <w:rtl/>
        </w:rPr>
        <w:t xml:space="preserve"> هذا البحث يبحث في </w:t>
      </w:r>
      <w:r w:rsidRPr="00742028">
        <w:rPr>
          <w:rFonts w:ascii="Calibri" w:eastAsia="Calibri" w:hAnsi="Calibri" w:cs="AL-Hotham"/>
          <w:b/>
          <w:bCs/>
          <w:sz w:val="20"/>
          <w:szCs w:val="20"/>
          <w:rtl/>
        </w:rPr>
        <w:t>المقابلة: تعريفها، وصورها</w:t>
      </w:r>
    </w:p>
    <w:p w:rsidR="00742028" w:rsidRPr="00742028" w:rsidRDefault="00742028" w:rsidP="00742028">
      <w:pPr>
        <w:spacing w:after="120" w:line="240" w:lineRule="auto"/>
        <w:jc w:val="lowKashida"/>
        <w:rPr>
          <w:rFonts w:asciiTheme="majorBidi" w:hAnsiTheme="majorBidi" w:cs="AL-Hotham"/>
          <w:b/>
          <w:bCs/>
          <w:sz w:val="20"/>
          <w:szCs w:val="20"/>
          <w:rtl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</w:rPr>
        <w:t>الكلمات المفتاحية</w:t>
      </w:r>
      <w:r w:rsidRPr="00742028">
        <w:rPr>
          <w:rFonts w:asciiTheme="majorBidi" w:hAnsiTheme="majorBidi" w:cs="AL-Hotham" w:hint="cs"/>
          <w:b/>
          <w:bCs/>
          <w:sz w:val="20"/>
          <w:szCs w:val="20"/>
          <w:rtl/>
        </w:rPr>
        <w:t xml:space="preserve"> </w:t>
      </w:r>
      <w:r w:rsidRPr="00742028">
        <w:rPr>
          <w:rFonts w:asciiTheme="majorBidi" w:hAnsiTheme="majorBidi" w:cs="AL-Hotham"/>
          <w:b/>
          <w:bCs/>
          <w:sz w:val="20"/>
          <w:szCs w:val="20"/>
          <w:rtl/>
        </w:rPr>
        <w:t>:</w:t>
      </w:r>
      <w:r w:rsidRPr="00742028">
        <w:rPr>
          <w:rFonts w:asciiTheme="majorBidi" w:hAnsiTheme="majorBidi" w:cs="AL-Hotham" w:hint="cs"/>
          <w:b/>
          <w:bCs/>
          <w:sz w:val="20"/>
          <w:szCs w:val="20"/>
          <w:rtl/>
        </w:rPr>
        <w:t xml:space="preserve"> 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مقابلة</w:t>
      </w:r>
      <w:r w:rsidRPr="00742028">
        <w:rPr>
          <w:rFonts w:asciiTheme="majorBidi" w:hAnsiTheme="majorBidi" w:cs="AL-Hotham" w:hint="cs"/>
          <w:b/>
          <w:bCs/>
          <w:sz w:val="20"/>
          <w:szCs w:val="20"/>
          <w:rtl/>
        </w:rPr>
        <w:t xml:space="preserve"> ،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 xml:space="preserve"> القوم</w:t>
      </w:r>
      <w:r w:rsidRPr="00742028">
        <w:rPr>
          <w:rFonts w:asciiTheme="majorBidi" w:hAnsiTheme="majorBidi" w:cs="AL-Hotham" w:hint="cs"/>
          <w:b/>
          <w:bCs/>
          <w:sz w:val="20"/>
          <w:szCs w:val="20"/>
          <w:rtl/>
        </w:rPr>
        <w:t xml:space="preserve"> ، </w:t>
      </w:r>
      <w:r w:rsidRPr="00742028">
        <w:rPr>
          <w:rFonts w:cs="AL-Hotham" w:hint="cs"/>
          <w:b/>
          <w:bCs/>
          <w:sz w:val="20"/>
          <w:szCs w:val="20"/>
          <w:rtl/>
        </w:rPr>
        <w:t>المعارضة والمواجهة</w:t>
      </w:r>
    </w:p>
    <w:p w:rsidR="00742028" w:rsidRPr="00742028" w:rsidRDefault="00742028" w:rsidP="00742028">
      <w:pPr>
        <w:pStyle w:val="a4"/>
        <w:numPr>
          <w:ilvl w:val="0"/>
          <w:numId w:val="1"/>
        </w:numPr>
        <w:spacing w:after="120"/>
        <w:jc w:val="center"/>
        <w:rPr>
          <w:rFonts w:asciiTheme="majorBidi" w:hAnsiTheme="majorBidi" w:cs="AL-Hotham"/>
          <w:b/>
          <w:bCs/>
          <w:sz w:val="20"/>
          <w:szCs w:val="20"/>
          <w:rtl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</w:rPr>
        <w:t>المقدمة</w:t>
      </w:r>
    </w:p>
    <w:p w:rsidR="00742028" w:rsidRPr="00742028" w:rsidRDefault="00742028" w:rsidP="00742028">
      <w:pPr>
        <w:pStyle w:val="a3"/>
        <w:bidi/>
        <w:spacing w:before="0" w:beforeAutospacing="0" w:after="120" w:afterAutospacing="0"/>
        <w:jc w:val="lowKashida"/>
        <w:rPr>
          <w:rFonts w:asciiTheme="majorBidi" w:hAnsiTheme="majorBidi" w:cs="AL-Hotham"/>
          <w:b/>
          <w:bCs/>
          <w:sz w:val="20"/>
          <w:szCs w:val="20"/>
          <w:rtl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</w:rPr>
        <w:t xml:space="preserve"> الحمد لله، والصلاة والسلام على سيدنا رسول الله، وعلى آله وصحبه ومن والاه، سوف نتحدث في هذا المقال عن</w:t>
      </w:r>
      <w:r w:rsidRPr="00742028">
        <w:rPr>
          <w:rFonts w:ascii="Calibri" w:eastAsia="Calibri" w:hAnsi="Calibri" w:cs="AL-Hotham"/>
          <w:b/>
          <w:bCs/>
          <w:sz w:val="20"/>
          <w:szCs w:val="20"/>
          <w:rtl/>
        </w:rPr>
        <w:t xml:space="preserve"> المقابلة: تعريفها، وصورها</w:t>
      </w:r>
    </w:p>
    <w:p w:rsidR="00742028" w:rsidRPr="00742028" w:rsidRDefault="00742028" w:rsidP="00742028">
      <w:pPr>
        <w:pStyle w:val="a3"/>
        <w:numPr>
          <w:ilvl w:val="0"/>
          <w:numId w:val="1"/>
        </w:numPr>
        <w:bidi/>
        <w:spacing w:before="0" w:beforeAutospacing="0" w:after="120" w:afterAutospacing="0"/>
        <w:jc w:val="center"/>
        <w:rPr>
          <w:rFonts w:asciiTheme="majorBidi" w:hAnsiTheme="majorBidi" w:cs="AL-Hotham"/>
          <w:b/>
          <w:bCs/>
          <w:sz w:val="20"/>
          <w:szCs w:val="20"/>
          <w:rtl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</w:rPr>
        <w:t>عنوان المقال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color w:val="000080"/>
          <w:sz w:val="20"/>
          <w:szCs w:val="20"/>
          <w:rtl/>
          <w:lang w:bidi="ar-EG"/>
        </w:rPr>
        <w:t>المقابلة في لغة العرب: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 xml:space="preserve"> من قابل الشيء بالشيء مقابلة: عارضه، ومقابلة الكتاب بالكتاب معارضته، والمقابلة المواجهة والتقابل مثله، يقال: تقابل القوم، يعني: استقبل بعضهم بعضًا، ومنه قوله تعالى في وصف أهل الجنة: 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264" w:hAnsi="QCF_P264" w:cs="QCF_P264"/>
          <w:b/>
          <w:bCs/>
          <w:color w:val="008000"/>
          <w:sz w:val="20"/>
          <w:szCs w:val="20"/>
          <w:rtl/>
        </w:rPr>
        <w:t>ﯥ ﯦ ﯧ ﯨ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742028">
        <w:rPr>
          <w:rFonts w:cs="AL-Hotham" w:hint="cs"/>
          <w:b/>
          <w:bCs/>
          <w:sz w:val="20"/>
          <w:szCs w:val="20"/>
          <w:rtl/>
        </w:rPr>
        <w:t>[الحجر: 47].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وجاء في التفسير: أنه لا ينظر بعضهم في أقفاء بعض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؛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فالمقابلة على هذا، معناها في اللغة: المعارضة والمواجهة.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color w:val="000080"/>
          <w:sz w:val="20"/>
          <w:szCs w:val="20"/>
          <w:rtl/>
        </w:rPr>
        <w:t>المقابلة في اصطلاح البلاغيين: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أن يؤتى بمعنيين متوافقين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أو معانٍ متوافقة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ثم يؤتى بما يقابلها على الترتيب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ويتضح هذا المعنى في قول الله تعالى: 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200" w:hAnsi="QCF_P200" w:cs="QCF_P200"/>
          <w:b/>
          <w:bCs/>
          <w:color w:val="008000"/>
          <w:sz w:val="20"/>
          <w:szCs w:val="20"/>
          <w:rtl/>
        </w:rPr>
        <w:t>ﮋ ﮌ ﮍ ﮎ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742028">
        <w:rPr>
          <w:rFonts w:cs="AL-Hotham" w:hint="cs"/>
          <w:b/>
          <w:bCs/>
          <w:sz w:val="20"/>
          <w:szCs w:val="20"/>
          <w:rtl/>
        </w:rPr>
        <w:t>[التوبة: 82]. وقول أبو دلامة: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85"/>
        <w:gridCol w:w="560"/>
        <w:gridCol w:w="2149"/>
      </w:tblGrid>
      <w:tr w:rsidR="00742028" w:rsidRPr="00742028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ما أحسن الدين والدنيا إذا اجتمعَا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742028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وأقبح الكفر والإفلاس بالرجل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742028">
        <w:rPr>
          <w:rFonts w:cs="AL-Hotham" w:hint="cs"/>
          <w:b/>
          <w:bCs/>
          <w:sz w:val="20"/>
          <w:szCs w:val="20"/>
          <w:rtl/>
        </w:rPr>
        <w:t xml:space="preserve">وقد جاءت الآية الكريمة: 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200" w:hAnsi="QCF_P200" w:cs="QCF_P200"/>
          <w:b/>
          <w:bCs/>
          <w:color w:val="008000"/>
          <w:sz w:val="20"/>
          <w:szCs w:val="20"/>
          <w:rtl/>
        </w:rPr>
        <w:t>ﮋ ﮌ ﮍ ﮎ</w:t>
      </w:r>
      <w:r w:rsidRPr="00742028">
        <w:rPr>
          <w:rFonts w:ascii="QCF_P200" w:hAnsi="QCF_P200" w:cs="DecoType Thuluth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sz w:val="20"/>
          <w:szCs w:val="20"/>
          <w:rtl/>
        </w:rPr>
        <w:t>، بمعنيين متوافقين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وإن كانا غير متناسبين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أولاهما: الضحك والقلة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ثم جاءت بما يقابل هذين المعنيين، وهوالبكاء والكثرة على الترتيب؛ حيث جاء الضحك أولًا في الطرف الأول من المقابلة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فجاء مقابله وهو البكاء أولًا في الطرف الثاني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وكذا القلة والكثرة جاء كل منهما ثانيًا في كلا الطرفين، وفي البيت: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85"/>
        <w:gridCol w:w="560"/>
        <w:gridCol w:w="2149"/>
      </w:tblGrid>
      <w:tr w:rsidR="00742028" w:rsidRPr="00742028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ما أحسن الدين والدنيا إذا اجتمعا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742028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وأقبح الكفر والإفلاس بالرجل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فقد جاء الشاعر بمعانٍ متوافقة متناسبة هي الحُسن والدين والدنيا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ثم جاء بمقابل هذه المعاني، وهي القبح والكفر والإفلاس على الترتيب كذلك؛ حيث إن القبح من الطرف الثاني يقابل الحسن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والكفر يقابل الدين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والإفلاس يقابل الدنيا، التي أراد بها الغنى.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pacing w:val="-2"/>
          <w:sz w:val="20"/>
          <w:szCs w:val="20"/>
          <w:rtl/>
        </w:rPr>
      </w:pP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>ومعنى التوافق في التعريف، ما كان خلاف التقابل؛ فيشمل الأمور المتناسبة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 xml:space="preserve"> كما في مراعاة النظير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>؛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 xml:space="preserve"> ولذا فقد تجتمع المقابلة ومراعاة النظير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 xml:space="preserve"> كما في بيت أبي دُلامة السابق؛ حيث إن الطرف الأول من المقابلة، وهو الحسن والدين والدنيا أمور متناسبة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 xml:space="preserve"> وهي مجلبة للسعادة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 xml:space="preserve"> وتجتمع في الذهن بهذا المعنى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 xml:space="preserve"> وكذا نجد الطرف الثاني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 xml:space="preserve"> وهو القبح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 xml:space="preserve"> والكفر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 xml:space="preserve"> والإفلاس، أنها مجلبة للشقاء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 xml:space="preserve"> ولها ارتباط في الذهن بهذا المعنى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 xml:space="preserve">، 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>كما يشمل التقابل المعنيين غير المتناسبين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 xml:space="preserve"> أو الأمور غير المتناسبة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 xml:space="preserve"> كما في الآية السابقة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 xml:space="preserve"> فلا تناسبَ بين الضحك والقلة</w:t>
      </w:r>
      <w:r w:rsidRPr="00742028">
        <w:rPr>
          <w:rFonts w:cs="AL-Hotham" w:hint="cs"/>
          <w:b/>
          <w:bCs/>
          <w:spacing w:val="-2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2"/>
          <w:sz w:val="20"/>
          <w:szCs w:val="20"/>
          <w:rtl/>
        </w:rPr>
        <w:t xml:space="preserve"> ولا بين البكاء والكثرة.</w:t>
      </w:r>
    </w:p>
    <w:p w:rsidR="00742028" w:rsidRPr="00742028" w:rsidRDefault="00742028" w:rsidP="00742028">
      <w:pPr>
        <w:spacing w:before="100" w:beforeAutospacing="1" w:after="100" w:afterAutospacing="1" w:line="240" w:lineRule="auto"/>
        <w:jc w:val="lowKashida"/>
        <w:rPr>
          <w:rFonts w:cs="AL-Hotham"/>
          <w:b/>
          <w:bCs/>
          <w:color w:val="000080"/>
          <w:sz w:val="20"/>
          <w:szCs w:val="20"/>
          <w:rtl/>
        </w:rPr>
      </w:pPr>
      <w:r w:rsidRPr="00742028">
        <w:rPr>
          <w:rFonts w:cs="AL-Hotham" w:hint="cs"/>
          <w:b/>
          <w:bCs/>
          <w:color w:val="000080"/>
          <w:sz w:val="20"/>
          <w:szCs w:val="20"/>
          <w:rtl/>
        </w:rPr>
        <w:t xml:space="preserve">تعريف القدامة بن جعفر، للمقابلة:    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lastRenderedPageBreak/>
        <w:t>وقد عرف القدامة بن جعفر، المقابلة، بقوله: هي أن يصنع الشاعر معانٍ يريد التوفيق بينها وبعض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 xml:space="preserve">، </w:t>
      </w:r>
      <w:r w:rsidRPr="00742028">
        <w:rPr>
          <w:rFonts w:cs="AL-Hotham" w:hint="cs"/>
          <w:b/>
          <w:bCs/>
          <w:sz w:val="20"/>
          <w:szCs w:val="20"/>
          <w:rtl/>
        </w:rPr>
        <w:t>والمخالفة، فيأتي في الموافق بما يوافق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وفي المخالف بما يخالف على الصحة، أو يشترط ويَعُدّ أحوالًا في أحد المعنيين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ثم يأتي بما يوافقه بمثل الذي شرطه وعدَّه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وفيما يخالف بضد ذلك.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وقد مثل قدامة للمقابلة، بقول الشاعر: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24"/>
        <w:gridCol w:w="565"/>
        <w:gridCol w:w="2105"/>
      </w:tblGrid>
      <w:tr w:rsidR="00742028" w:rsidRPr="00742028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وإذا حديث ساءني لم أكتئب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742028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وإذا حديث سرني لم أسر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فقد جعل بإيذاء سرني ساءني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وبإيذاء الاكتئاب أُسر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وهذه المعاني غاية في التقابل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والمتأمل في تعريف قدامة، يجده خصص التوافق في المقابلة بما كان متناسبًا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وعلى هذا، فإن هذا اللون عنده يشتمل على لونين من المحسنات البديعية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وهما مراعاة النظير والمقابلة. 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والمقابلة عند جمهور البلاغيين، تعمُّ ما كان من المعاني متناسبًا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أو غير متناسب من غير تضاد.  والمتتبع لكلام العرب شعرًا ونثرًا، لا يجد في صور المقابلة أكثر من مقابلة ستة معانٍ بستة أخرى.</w:t>
      </w:r>
    </w:p>
    <w:p w:rsidR="00742028" w:rsidRPr="00742028" w:rsidRDefault="00742028" w:rsidP="00742028">
      <w:pPr>
        <w:spacing w:before="100" w:beforeAutospacing="1" w:after="100" w:afterAutospacing="1" w:line="240" w:lineRule="auto"/>
        <w:jc w:val="lowKashida"/>
        <w:rPr>
          <w:rFonts w:cs="AL-Hotham"/>
          <w:b/>
          <w:bCs/>
          <w:color w:val="333399"/>
          <w:sz w:val="20"/>
          <w:szCs w:val="20"/>
        </w:rPr>
      </w:pPr>
      <w:r w:rsidRPr="00742028">
        <w:rPr>
          <w:rFonts w:cs="AL-Hotham" w:hint="cs"/>
          <w:b/>
          <w:bCs/>
          <w:color w:val="000080"/>
          <w:sz w:val="20"/>
          <w:szCs w:val="20"/>
          <w:rtl/>
        </w:rPr>
        <w:t>صور المقابلة</w:t>
      </w:r>
      <w:r w:rsidRPr="00742028">
        <w:rPr>
          <w:rFonts w:cs="AL-Hotham" w:hint="cs"/>
          <w:b/>
          <w:bCs/>
          <w:color w:val="333399"/>
          <w:sz w:val="20"/>
          <w:szCs w:val="20"/>
          <w:rtl/>
        </w:rPr>
        <w:t>: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جاءت المقابلة في كلام العرب، على خمس صور: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color w:val="000080"/>
          <w:spacing w:val="-6"/>
          <w:sz w:val="20"/>
          <w:szCs w:val="20"/>
          <w:rtl/>
        </w:rPr>
        <w:t>الصورة الأولى:</w:t>
      </w:r>
      <w:r w:rsidRPr="00742028">
        <w:rPr>
          <w:rFonts w:cs="AL-Hotham" w:hint="cs"/>
          <w:b/>
          <w:bCs/>
          <w:spacing w:val="-6"/>
          <w:sz w:val="20"/>
          <w:szCs w:val="20"/>
          <w:rtl/>
        </w:rPr>
        <w:t xml:space="preserve"> أن تكون المقابلة بين اثنين واثنين</w:t>
      </w:r>
      <w:r w:rsidRPr="00742028">
        <w:rPr>
          <w:rFonts w:cs="AL-Hotham" w:hint="cs"/>
          <w:b/>
          <w:bCs/>
          <w:spacing w:val="-6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6"/>
          <w:sz w:val="20"/>
          <w:szCs w:val="20"/>
          <w:rtl/>
        </w:rPr>
        <w:t xml:space="preserve"> وقد مر منه قوله تعالى: </w:t>
      </w:r>
      <w:r w:rsidRPr="00742028">
        <w:rPr>
          <w:rFonts w:cs="DecoType Thuluth" w:hint="cs"/>
          <w:b/>
          <w:bCs/>
          <w:color w:val="008000"/>
          <w:spacing w:val="-6"/>
          <w:sz w:val="20"/>
          <w:szCs w:val="20"/>
          <w:rtl/>
        </w:rPr>
        <w:t>{</w:t>
      </w:r>
      <w:r w:rsidRPr="00742028">
        <w:rPr>
          <w:rFonts w:ascii="QCF_P200" w:hAnsi="QCF_P200" w:cs="QCF_P200"/>
          <w:b/>
          <w:bCs/>
          <w:color w:val="008000"/>
          <w:spacing w:val="-6"/>
          <w:sz w:val="20"/>
          <w:szCs w:val="20"/>
          <w:rtl/>
        </w:rPr>
        <w:t>ﮋ ﮌ ﮍ ﮎ</w:t>
      </w:r>
      <w:r w:rsidRPr="00742028">
        <w:rPr>
          <w:rFonts w:ascii="QCF_P200" w:hAnsi="QCF_P200" w:cs="DecoType Thuluth"/>
          <w:b/>
          <w:bCs/>
          <w:color w:val="008000"/>
          <w:spacing w:val="-6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spacing w:val="-6"/>
          <w:sz w:val="20"/>
          <w:szCs w:val="20"/>
          <w:rtl/>
        </w:rPr>
        <w:t xml:space="preserve"> </w:t>
      </w:r>
      <w:r w:rsidRPr="00742028">
        <w:rPr>
          <w:rFonts w:cs="AL-Hotham"/>
          <w:b/>
          <w:bCs/>
          <w:spacing w:val="-6"/>
          <w:sz w:val="20"/>
          <w:szCs w:val="20"/>
          <w:rtl/>
        </w:rPr>
        <w:t>[التوبة:82]</w:t>
      </w:r>
      <w:r w:rsidRPr="00742028">
        <w:rPr>
          <w:rFonts w:cs="AL-Hotham" w:hint="cs"/>
          <w:b/>
          <w:bCs/>
          <w:spacing w:val="-6"/>
          <w:sz w:val="20"/>
          <w:szCs w:val="20"/>
          <w:rtl/>
        </w:rPr>
        <w:t>، فقد قابل بين الضحك والقلة</w:t>
      </w:r>
      <w:r w:rsidRPr="00742028">
        <w:rPr>
          <w:rFonts w:cs="AL-Hotham" w:hint="cs"/>
          <w:b/>
          <w:bCs/>
          <w:spacing w:val="-6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6"/>
          <w:sz w:val="20"/>
          <w:szCs w:val="20"/>
          <w:rtl/>
        </w:rPr>
        <w:t xml:space="preserve"> وبين البكاء والكثرة</w:t>
      </w:r>
      <w:r w:rsidRPr="00742028">
        <w:rPr>
          <w:rFonts w:cs="AL-Hotham" w:hint="cs"/>
          <w:b/>
          <w:bCs/>
          <w:spacing w:val="-6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pacing w:val="-6"/>
          <w:sz w:val="20"/>
          <w:szCs w:val="20"/>
          <w:rtl/>
        </w:rPr>
        <w:t xml:space="preserve"> ومنه قوله تعالى: </w:t>
      </w:r>
      <w:r w:rsidRPr="00742028">
        <w:rPr>
          <w:rFonts w:cs="DecoType Thuluth" w:hint="cs"/>
          <w:b/>
          <w:bCs/>
          <w:color w:val="008000"/>
          <w:spacing w:val="-6"/>
          <w:sz w:val="20"/>
          <w:szCs w:val="20"/>
          <w:rtl/>
        </w:rPr>
        <w:t>{</w:t>
      </w:r>
      <w:r w:rsidRPr="00742028">
        <w:rPr>
          <w:rFonts w:ascii="QCF_P587" w:hAnsi="QCF_P587" w:cs="QCF_P587"/>
          <w:b/>
          <w:bCs/>
          <w:color w:val="008000"/>
          <w:spacing w:val="-6"/>
          <w:sz w:val="20"/>
          <w:szCs w:val="20"/>
          <w:rtl/>
        </w:rPr>
        <w:t>ﮊ ﮋ ﮌ ﮍ ﮎ</w:t>
      </w:r>
      <w:r w:rsidRPr="00742028">
        <w:rPr>
          <w:rFonts w:cs="AL-Hotham" w:hint="cs"/>
          <w:b/>
          <w:bCs/>
          <w:color w:val="008000"/>
          <w:spacing w:val="-6"/>
          <w:sz w:val="20"/>
          <w:szCs w:val="20"/>
          <w:rtl/>
        </w:rPr>
        <w:t xml:space="preserve"> </w:t>
      </w:r>
      <w:r w:rsidRPr="00742028">
        <w:rPr>
          <w:rFonts w:ascii="QCF_P587" w:hAnsi="QCF_P587" w:cs="QCF_P587"/>
          <w:b/>
          <w:bCs/>
          <w:color w:val="008000"/>
          <w:spacing w:val="-6"/>
          <w:sz w:val="20"/>
          <w:szCs w:val="20"/>
          <w:rtl/>
        </w:rPr>
        <w:t>ﮏ ﮐ ﮑ ﮒ ﮓ</w:t>
      </w:r>
      <w:r w:rsidRPr="00742028">
        <w:rPr>
          <w:rFonts w:cs="DecoType Thuluth" w:hint="cs"/>
          <w:b/>
          <w:bCs/>
          <w:color w:val="008000"/>
          <w:spacing w:val="-6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742028">
        <w:rPr>
          <w:rFonts w:cs="AL-Hotham" w:hint="cs"/>
          <w:b/>
          <w:bCs/>
          <w:sz w:val="20"/>
          <w:szCs w:val="20"/>
          <w:rtl/>
        </w:rPr>
        <w:t>[الانفطار:13</w:t>
      </w:r>
      <w:r w:rsidRPr="00742028">
        <w:rPr>
          <w:rFonts w:cs="Traditional Arabic" w:hint="cs"/>
          <w:b/>
          <w:bCs/>
          <w:sz w:val="20"/>
          <w:szCs w:val="20"/>
          <w:rtl/>
        </w:rPr>
        <w:t>-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14]؛ حيث جمعت الآية بين الأبرار ونعيم وهما متوافقان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ثم قابل بينهما وبين الفجار وجحيم. 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 xml:space="preserve">ومنه كذلك قوله تعالى: 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539" w:hAnsi="QCF_P539" w:cs="QCF_P539"/>
          <w:b/>
          <w:bCs/>
          <w:color w:val="008000"/>
          <w:sz w:val="20"/>
          <w:szCs w:val="20"/>
          <w:rtl/>
        </w:rPr>
        <w:t>ﭽ ﭾ ﭿ ﮀ ﮁ ﮂ ﮃ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742028">
        <w:rPr>
          <w:rFonts w:cs="AL-Hotham" w:hint="cs"/>
          <w:b/>
          <w:bCs/>
          <w:sz w:val="20"/>
          <w:szCs w:val="20"/>
          <w:rtl/>
        </w:rPr>
        <w:t>[الحديد: 13]؛ حيث جاءت فيه المقابلة بين باطنه ورحمة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وهما متوافقان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ثم بما يقابلهما، وهما ظاهره والعذاب.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 xml:space="preserve">ومنه قوله </w:t>
      </w:r>
      <w:r w:rsidRPr="00742028">
        <w:rPr>
          <w:rFonts w:ascii="AGA Arabesque" w:hAnsi="AGA Arabesque"/>
          <w:b/>
          <w:bCs/>
          <w:position w:val="-4"/>
          <w:sz w:val="20"/>
          <w:szCs w:val="20"/>
        </w:rPr>
        <w:t>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لعائشة </w:t>
      </w:r>
      <w:r w:rsidRPr="00742028">
        <w:rPr>
          <w:rFonts w:cs="SC_ALYERMOOK" w:hint="cs"/>
          <w:b/>
          <w:bCs/>
          <w:position w:val="-4"/>
          <w:sz w:val="20"/>
          <w:szCs w:val="20"/>
          <w:rtl/>
        </w:rPr>
        <w:t>&lt;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: </w:t>
      </w:r>
      <w:r w:rsidRPr="00742028">
        <w:rPr>
          <w:rFonts w:cs="AL-Hotham" w:hint="cs"/>
          <w:b/>
          <w:bCs/>
          <w:color w:val="0000FF"/>
          <w:sz w:val="20"/>
          <w:szCs w:val="20"/>
          <w:rtl/>
        </w:rPr>
        <w:t>((عليكِ بالرفق يا عائشة، فإنه ما كان في شيء إلَّا زانه</w:t>
      </w:r>
      <w:r w:rsidRPr="00742028">
        <w:rPr>
          <w:rFonts w:cs="AL-Hotham" w:hint="cs"/>
          <w:b/>
          <w:bCs/>
          <w:color w:val="0000FF"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color w:val="0000FF"/>
          <w:sz w:val="20"/>
          <w:szCs w:val="20"/>
          <w:rtl/>
        </w:rPr>
        <w:t xml:space="preserve"> وما نُزع من شيء إلَّا شانه))</w:t>
      </w:r>
      <w:r w:rsidRPr="00742028">
        <w:rPr>
          <w:rFonts w:cs="AL-Hotham" w:hint="cs"/>
          <w:b/>
          <w:bCs/>
          <w:sz w:val="20"/>
          <w:szCs w:val="20"/>
          <w:rtl/>
        </w:rPr>
        <w:t>، فجمع في الحديث بين كان وزان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وهما متوافقان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ثم طابق بينهما وبين نزع وشان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فالمقابلة نوع من الطباق </w:t>
      </w:r>
      <w:r w:rsidRPr="00742028">
        <w:rPr>
          <w:rFonts w:cs="Traditional Arabic" w:hint="cs"/>
          <w:b/>
          <w:bCs/>
          <w:sz w:val="20"/>
          <w:szCs w:val="20"/>
          <w:rtl/>
        </w:rPr>
        <w:t>-</w:t>
      </w:r>
      <w:r w:rsidRPr="00742028">
        <w:rPr>
          <w:rFonts w:cs="AL-Hotham" w:hint="cs"/>
          <w:b/>
          <w:bCs/>
          <w:sz w:val="20"/>
          <w:szCs w:val="20"/>
          <w:rtl/>
        </w:rPr>
        <w:t>كما مر</w:t>
      </w:r>
      <w:r w:rsidRPr="00742028">
        <w:rPr>
          <w:rFonts w:cs="Traditional Arabic" w:hint="cs"/>
          <w:b/>
          <w:bCs/>
          <w:sz w:val="20"/>
          <w:szCs w:val="20"/>
          <w:rtl/>
          <w:lang w:bidi="ar-EG"/>
        </w:rPr>
        <w:t>-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إلا أنها بين معنيين فأكثر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.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ومن مقابلة اثنين باثنين، قول ابن المعتز: "طلاق الدنيا مهر الآخرة"؛ حيث قابل بين طلاق الدنيا ومهر الآخرة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فجعل المهر في مقابلة الطلاق؛ لأنه لا يكون إلَّا في الزواج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والدنيا تقابل الآخرة.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ومن هذا القبيل قول المنصور: "لا تخرجوا من عز الطاعة إلى ذلِّ المعصية"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؛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فقابل بين عز الطاعة، وذل المعصية.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ومن ذلك قول المعري: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92"/>
        <w:gridCol w:w="564"/>
        <w:gridCol w:w="2138"/>
      </w:tblGrid>
      <w:tr w:rsidR="00742028" w:rsidRPr="00742028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يا دهر يا منجزَ إيعاده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742028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ومخلف المأمول مَن وعده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قابل بين منجز وإيعاده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وبين مخلف ووعده.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lastRenderedPageBreak/>
        <w:t>ومن ذلك أيضًا، قول جرير: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04"/>
        <w:gridCol w:w="566"/>
        <w:gridCol w:w="2124"/>
      </w:tblGrid>
      <w:tr w:rsidR="00742028" w:rsidRPr="00742028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أعور من نبهان أما نهاره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742028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فأعمى وأما ليله فبصير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فالمقابلة هنا بين النهار والعمى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وبين الليل والبصر، كما هو واضح.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والمشهور من هذا الضرب، قول النابغة: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04"/>
        <w:gridCol w:w="562"/>
        <w:gridCol w:w="2128"/>
      </w:tblGrid>
      <w:tr w:rsidR="00742028" w:rsidRPr="00742028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فتًى ثَم فيه ما يسر صديقه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742028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على أن فيه ما يسوء الأعادي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فتراه قابل بين سرور الصديق، وإساءة العدو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.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هذه هي الصورة الأولى.</w:t>
      </w:r>
    </w:p>
    <w:p w:rsidR="00742028" w:rsidRPr="00742028" w:rsidRDefault="00742028" w:rsidP="00742028">
      <w:pPr>
        <w:spacing w:after="120" w:line="240" w:lineRule="auto"/>
        <w:jc w:val="both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color w:val="000080"/>
          <w:sz w:val="20"/>
          <w:szCs w:val="20"/>
          <w:rtl/>
        </w:rPr>
        <w:t>الصورة الثانية: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أن تكون بين ثلاثة وثلاثة، كقوله: 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170" w:hAnsi="QCF_P170" w:cs="QCF_P170"/>
          <w:b/>
          <w:bCs/>
          <w:color w:val="008000"/>
          <w:sz w:val="20"/>
          <w:szCs w:val="20"/>
          <w:rtl/>
        </w:rPr>
        <w:t>ﮅ ﮆ ﮇ ﮈ ﮉ ﮊ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[الأعراف: 157]، وقد قابلت الآية بين: 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170" w:hAnsi="QCF_P170" w:cs="QCF_P170"/>
          <w:b/>
          <w:bCs/>
          <w:color w:val="008000"/>
          <w:sz w:val="20"/>
          <w:szCs w:val="20"/>
          <w:rtl/>
        </w:rPr>
        <w:t>ﮅ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170" w:hAnsi="QCF_P170" w:cs="QCF_P170"/>
          <w:b/>
          <w:bCs/>
          <w:color w:val="008000"/>
          <w:sz w:val="20"/>
          <w:szCs w:val="20"/>
          <w:rtl/>
        </w:rPr>
        <w:t>ﮆ</w:t>
      </w:r>
      <w:r w:rsidRPr="00742028">
        <w:rPr>
          <w:rFonts w:ascii="QCF_P170" w:hAnsi="QCF_P170" w:cs="DecoType Thuluth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170" w:hAnsi="QCF_P170" w:cs="QCF_P170"/>
          <w:b/>
          <w:bCs/>
          <w:color w:val="008000"/>
          <w:sz w:val="20"/>
          <w:szCs w:val="20"/>
          <w:rtl/>
        </w:rPr>
        <w:t>ﮇ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من جهة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 xml:space="preserve">، 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170" w:hAnsi="QCF_P170" w:cs="QCF_P170"/>
          <w:b/>
          <w:bCs/>
          <w:color w:val="008000"/>
          <w:sz w:val="20"/>
          <w:szCs w:val="20"/>
          <w:rtl/>
        </w:rPr>
        <w:t>ﮈ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170" w:hAnsi="QCF_P170" w:cs="QCF_P170"/>
          <w:b/>
          <w:bCs/>
          <w:color w:val="008000"/>
          <w:sz w:val="20"/>
          <w:szCs w:val="20"/>
          <w:rtl/>
        </w:rPr>
        <w:t>ﮉ ﮊ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sz w:val="20"/>
          <w:szCs w:val="20"/>
          <w:rtl/>
        </w:rPr>
        <w:t>،</w:t>
      </w:r>
      <w:r w:rsidRPr="00742028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من جهة أخرى، ومنه قوله تعالى: 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277" w:hAnsi="QCF_P277" w:cs="QCF_P277"/>
          <w:b/>
          <w:bCs/>
          <w:color w:val="008000"/>
          <w:sz w:val="20"/>
          <w:szCs w:val="20"/>
          <w:rtl/>
        </w:rPr>
        <w:t>ﭻ ﭼ ﭽ ﭾ ﭿ ﮀ ﮁ ﮂ ﮃ ﮄ ﮅ ﮆ ﮇ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742028">
        <w:rPr>
          <w:rFonts w:cs="AL-Hotham" w:hint="cs"/>
          <w:b/>
          <w:bCs/>
          <w:sz w:val="20"/>
          <w:szCs w:val="20"/>
          <w:rtl/>
        </w:rPr>
        <w:t>[النحل: 90]، يقول صاحب (الطراز): "انظر إلى التقابل العجيب في هذه الآية، ما أحسن تأليفه، وأعجب تصريفه، ولقد جمع فيه بين مقابلات ثلاث: الأولى منها، مأمور بها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والثلاث التوابع، منهيٌّ عنها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ثم هي فيما بينها متقابلة أيضًا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ومن هذا القبيل قول البحتري: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14"/>
        <w:gridCol w:w="564"/>
        <w:gridCol w:w="2116"/>
      </w:tblGrid>
      <w:tr w:rsidR="00742028" w:rsidRPr="00742028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فإذا حاربوا أذلوا عزيزًا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742028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وإذا سالموا أعزوا ذليلًا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حيث قابل بين حاربوا وأذلوا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وعزيز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وبين سالموا وأعزوا وذليلًا، ومنه قول أبي دلامة السابق: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085"/>
        <w:gridCol w:w="560"/>
        <w:gridCol w:w="2149"/>
      </w:tblGrid>
      <w:tr w:rsidR="00742028" w:rsidRPr="00742028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ما أحسن الدين والدنيا إذا اجتمعا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742028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وأقبح الكفر والإفلاس بالرجل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فقد أتى بمعانٍ متوافقة هي الحسن والدين والدنيا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ثم أتى بمقابل هذه المعاني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وهي القبح والكفر والإفلاس.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ومن المشهور في هذه الصورة، قول أبي الطيب: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13"/>
        <w:gridCol w:w="568"/>
        <w:gridCol w:w="2113"/>
      </w:tblGrid>
      <w:tr w:rsidR="00742028" w:rsidRPr="00742028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فلا الجود يفني المال والجد مقبل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742028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ولا البخل يبقي المال والجد مدبر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حيث قابل بين الجود والإفناء والإقبال، وبين البخل والإبقاء والإدبار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ومن جيد هذا الضرب، قول أبي تمام: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24"/>
        <w:gridCol w:w="559"/>
        <w:gridCol w:w="2111"/>
      </w:tblGrid>
      <w:tr w:rsidR="00742028" w:rsidRPr="00742028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يا أمة كان قبح الجور يسخطها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742028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دهرًا فأصبح حسن العدل يرضيها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فالمقابلة بين القبح والجور والإسخاط من جانب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وبين الحسن والعدل والإرضاء من جانب آخر. </w:t>
      </w:r>
    </w:p>
    <w:p w:rsidR="00742028" w:rsidRPr="00742028" w:rsidRDefault="00742028" w:rsidP="00742028">
      <w:pPr>
        <w:spacing w:after="120" w:line="240" w:lineRule="auto"/>
        <w:jc w:val="both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color w:val="000080"/>
          <w:spacing w:val="-4"/>
          <w:sz w:val="20"/>
          <w:szCs w:val="20"/>
          <w:rtl/>
        </w:rPr>
        <w:t>الصورة الثالثة:</w:t>
      </w:r>
      <w:r w:rsidRPr="00742028">
        <w:rPr>
          <w:rFonts w:cs="AL-Hotham" w:hint="cs"/>
          <w:b/>
          <w:bCs/>
          <w:spacing w:val="-4"/>
          <w:sz w:val="20"/>
          <w:szCs w:val="20"/>
          <w:rtl/>
        </w:rPr>
        <w:t xml:space="preserve"> أن تكون بين أربعة معانٍ وأربعة معانٍ أخرى، كقوله تعالى: </w:t>
      </w:r>
      <w:r w:rsidRPr="00742028">
        <w:rPr>
          <w:rFonts w:cs="DecoType Thuluth" w:hint="cs"/>
          <w:b/>
          <w:bCs/>
          <w:color w:val="008000"/>
          <w:spacing w:val="-4"/>
          <w:sz w:val="20"/>
          <w:szCs w:val="20"/>
          <w:rtl/>
        </w:rPr>
        <w:t>{</w:t>
      </w:r>
      <w:r w:rsidRPr="00742028">
        <w:rPr>
          <w:rFonts w:ascii="QCF_P595" w:hAnsi="QCF_P595" w:cs="QCF_P595"/>
          <w:b/>
          <w:bCs/>
          <w:color w:val="008000"/>
          <w:spacing w:val="-4"/>
          <w:sz w:val="20"/>
          <w:szCs w:val="20"/>
          <w:rtl/>
        </w:rPr>
        <w:t>ﮧ ﮨ ﮩ ﮪ ﮫ</w:t>
      </w:r>
      <w:r w:rsidRPr="00742028">
        <w:rPr>
          <w:rFonts w:ascii="QCF_P595" w:hAnsi="QCF_P595" w:cs="QCF_P595" w:hint="cs"/>
          <w:b/>
          <w:bCs/>
          <w:color w:val="008000"/>
          <w:spacing w:val="-4"/>
          <w:sz w:val="20"/>
          <w:szCs w:val="20"/>
          <w:rtl/>
        </w:rPr>
        <w:t xml:space="preserve"> </w:t>
      </w:r>
      <w:r w:rsidRPr="00742028">
        <w:rPr>
          <w:rFonts w:ascii="QCF_P595" w:hAnsi="QCF_P595" w:cs="QCF_P595"/>
          <w:b/>
          <w:bCs/>
          <w:color w:val="008000"/>
          <w:spacing w:val="-4"/>
          <w:sz w:val="20"/>
          <w:szCs w:val="20"/>
          <w:rtl/>
        </w:rPr>
        <w:t>ﮬ ﮭ ﮮ</w:t>
      </w:r>
      <w:r w:rsidRPr="00742028">
        <w:rPr>
          <w:rFonts w:ascii="QCF_P595" w:hAnsi="QCF_P595" w:cs="QCF_P595" w:hint="cs"/>
          <w:b/>
          <w:bCs/>
          <w:color w:val="008000"/>
          <w:spacing w:val="-4"/>
          <w:sz w:val="20"/>
          <w:szCs w:val="20"/>
          <w:rtl/>
        </w:rPr>
        <w:t xml:space="preserve"> </w:t>
      </w:r>
      <w:r w:rsidRPr="00742028">
        <w:rPr>
          <w:rFonts w:ascii="QCF_P595" w:hAnsi="QCF_P595" w:cs="QCF_P595"/>
          <w:b/>
          <w:bCs/>
          <w:color w:val="008000"/>
          <w:spacing w:val="-4"/>
          <w:sz w:val="20"/>
          <w:szCs w:val="20"/>
          <w:rtl/>
        </w:rPr>
        <w:t>ﮯ ﮰ ﮱ</w:t>
      </w:r>
      <w:r w:rsidRPr="00742028">
        <w:rPr>
          <w:rFonts w:ascii="QCF_P595" w:hAnsi="QCF_P595" w:cs="QCF_P595" w:hint="cs"/>
          <w:b/>
          <w:bCs/>
          <w:color w:val="008000"/>
          <w:spacing w:val="-4"/>
          <w:sz w:val="20"/>
          <w:szCs w:val="20"/>
          <w:rtl/>
        </w:rPr>
        <w:t xml:space="preserve"> </w:t>
      </w:r>
      <w:r w:rsidRPr="00742028">
        <w:rPr>
          <w:rFonts w:ascii="QCF_P595" w:hAnsi="QCF_P595" w:cs="QCF_P595"/>
          <w:b/>
          <w:bCs/>
          <w:color w:val="008000"/>
          <w:spacing w:val="-4"/>
          <w:sz w:val="20"/>
          <w:szCs w:val="20"/>
          <w:rtl/>
        </w:rPr>
        <w:t>ﯓ ﯔ ﯕ ﯖ ﯗ</w:t>
      </w:r>
      <w:r w:rsidRPr="00742028">
        <w:rPr>
          <w:rFonts w:ascii="QCF_P595" w:hAnsi="QCF_P595" w:cs="QCF_P595" w:hint="cs"/>
          <w:b/>
          <w:bCs/>
          <w:color w:val="008000"/>
          <w:sz w:val="20"/>
          <w:szCs w:val="20"/>
          <w:rtl/>
        </w:rPr>
        <w:t xml:space="preserve"> </w:t>
      </w:r>
      <w:r w:rsidRPr="00742028">
        <w:rPr>
          <w:rFonts w:ascii="QCF_P595" w:hAnsi="QCF_P595" w:cs="QCF_P595"/>
          <w:b/>
          <w:bCs/>
          <w:color w:val="008000"/>
          <w:sz w:val="20"/>
          <w:szCs w:val="20"/>
          <w:rtl/>
        </w:rPr>
        <w:t>ﯘ ﯙ ﯚ</w:t>
      </w:r>
      <w:r w:rsidRPr="00742028">
        <w:rPr>
          <w:rFonts w:ascii="QCF_P595" w:hAnsi="QCF_P595" w:cs="QCF_P595" w:hint="cs"/>
          <w:b/>
          <w:bCs/>
          <w:color w:val="008000"/>
          <w:sz w:val="20"/>
          <w:szCs w:val="20"/>
          <w:rtl/>
        </w:rPr>
        <w:t xml:space="preserve"> </w:t>
      </w:r>
      <w:r w:rsidRPr="00742028">
        <w:rPr>
          <w:rFonts w:ascii="QCF_P595" w:hAnsi="QCF_P595" w:cs="QCF_P595"/>
          <w:b/>
          <w:bCs/>
          <w:color w:val="008000"/>
          <w:sz w:val="20"/>
          <w:szCs w:val="20"/>
          <w:rtl/>
        </w:rPr>
        <w:t>ﯛ ﯜ ﯝ</w:t>
      </w:r>
      <w:r w:rsidRPr="00742028">
        <w:rPr>
          <w:rFonts w:ascii="QCF_P595" w:hAnsi="QCF_P595" w:cs="DecoType Thuluth" w:hint="cs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742028">
        <w:rPr>
          <w:rFonts w:cs="AL-Hotham" w:hint="cs"/>
          <w:b/>
          <w:bCs/>
          <w:sz w:val="20"/>
          <w:szCs w:val="20"/>
          <w:rtl/>
        </w:rPr>
        <w:t>[الليل: 5</w:t>
      </w:r>
      <w:r w:rsidRPr="00742028">
        <w:rPr>
          <w:rFonts w:cs="Traditional Arabic" w:hint="cs"/>
          <w:b/>
          <w:bCs/>
          <w:sz w:val="20"/>
          <w:szCs w:val="20"/>
          <w:rtl/>
        </w:rPr>
        <w:t>-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10]. 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فالمقابلة بين:</w:t>
      </w:r>
      <w:r w:rsidRPr="00742028">
        <w:rPr>
          <w:rFonts w:cs="AL-Hotham" w:hint="cs"/>
          <w:b/>
          <w:bCs/>
          <w:color w:val="008000"/>
          <w:sz w:val="20"/>
          <w:szCs w:val="20"/>
          <w:rtl/>
        </w:rPr>
        <w:t xml:space="preserve"> 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595" w:hAnsi="QCF_P595" w:cs="QCF_P595"/>
          <w:b/>
          <w:bCs/>
          <w:color w:val="008000"/>
          <w:sz w:val="20"/>
          <w:szCs w:val="20"/>
          <w:rtl/>
        </w:rPr>
        <w:t>ﮩ ﮪ</w:t>
      </w:r>
      <w:r w:rsidRPr="00742028">
        <w:rPr>
          <w:rFonts w:ascii="QCF_P595" w:hAnsi="QCF_P595" w:cs="DecoType Thuluth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 xml:space="preserve">، 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595" w:hAnsi="QCF_P595" w:cs="QCF_P595"/>
          <w:b/>
          <w:bCs/>
          <w:color w:val="008000"/>
          <w:sz w:val="20"/>
          <w:szCs w:val="20"/>
          <w:rtl/>
        </w:rPr>
        <w:t>ﮬ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و"اليسرى"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وبين مقابل هذه المعاني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وهي: 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595" w:hAnsi="QCF_P595" w:cs="QCF_P595"/>
          <w:b/>
          <w:bCs/>
          <w:color w:val="008000"/>
          <w:sz w:val="20"/>
          <w:szCs w:val="20"/>
          <w:rtl/>
        </w:rPr>
        <w:t>ﯕ ﯖ</w:t>
      </w:r>
      <w:r w:rsidRPr="00742028">
        <w:rPr>
          <w:rFonts w:ascii="QCF_P595" w:hAnsi="QCF_P595" w:cs="DecoType Thuluth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، </w:t>
      </w:r>
      <w:r w:rsidRPr="00742028">
        <w:rPr>
          <w:rFonts w:cs="AL-Hotham" w:hint="cs"/>
          <w:b/>
          <w:bCs/>
          <w:color w:val="008000"/>
          <w:sz w:val="20"/>
          <w:szCs w:val="20"/>
          <w:rtl/>
        </w:rPr>
        <w:t>وَ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595" w:hAnsi="QCF_P595" w:cs="QCF_P595"/>
          <w:b/>
          <w:bCs/>
          <w:color w:val="008000"/>
          <w:sz w:val="20"/>
          <w:szCs w:val="20"/>
          <w:rtl/>
        </w:rPr>
        <w:t>ﯘ</w:t>
      </w:r>
      <w:r w:rsidRPr="00742028">
        <w:rPr>
          <w:rFonts w:ascii="QCF_P595" w:hAnsi="QCF_P595" w:cs="DecoType Thuluth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و"العسرى"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فهي أربعة معانٍ أخرى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والتقابل بين: 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595" w:hAnsi="QCF_P595" w:cs="QCF_P595"/>
          <w:b/>
          <w:bCs/>
          <w:color w:val="008000"/>
          <w:sz w:val="20"/>
          <w:szCs w:val="20"/>
          <w:rtl/>
        </w:rPr>
        <w:t>ﮪ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، 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{</w:t>
      </w:r>
      <w:r w:rsidRPr="00742028">
        <w:rPr>
          <w:rFonts w:ascii="QCF_P595" w:hAnsi="QCF_P595" w:cs="QCF_P595"/>
          <w:b/>
          <w:bCs/>
          <w:color w:val="008000"/>
          <w:sz w:val="20"/>
          <w:szCs w:val="20"/>
          <w:rtl/>
        </w:rPr>
        <w:t>ﯖ</w:t>
      </w:r>
      <w:r w:rsidRPr="00742028">
        <w:rPr>
          <w:rFonts w:cs="DecoType Thuluth" w:hint="cs"/>
          <w:b/>
          <w:bCs/>
          <w:color w:val="008000"/>
          <w:sz w:val="20"/>
          <w:szCs w:val="20"/>
          <w:rtl/>
        </w:rPr>
        <w:t>}</w:t>
      </w:r>
      <w:r w:rsidRPr="00742028">
        <w:rPr>
          <w:rFonts w:cs="AL-Hotham" w:hint="cs"/>
          <w:b/>
          <w:bCs/>
          <w:sz w:val="20"/>
          <w:szCs w:val="20"/>
          <w:rtl/>
        </w:rPr>
        <w:t>، يحتاج إلى شيء من الفكر والتأمل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ووجه التقابل بينهما أن استغنى، بمعنى: زِهِد فيما عند الله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وهذا يقابل التقوى؛ إذ المستغني بالحياة الدنيا عن نعيم الآخرة غير متق.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ومن هذا الضرب، قول جرير: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07"/>
        <w:gridCol w:w="563"/>
        <w:gridCol w:w="2124"/>
      </w:tblGrid>
      <w:tr w:rsidR="00742028" w:rsidRPr="00742028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وباسط خير فيكم بيمينه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742028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وقابض شر عنكم بشماله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فالمقابلة هنا بين أربعة معانٍ متوافقة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وهي: باسط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وخير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وفيكم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ويمينه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وما يقابل هذه المعاني، وهي: قابض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وشر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وعنكم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وشماله. 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color w:val="000080"/>
          <w:sz w:val="20"/>
          <w:szCs w:val="20"/>
          <w:rtl/>
        </w:rPr>
        <w:lastRenderedPageBreak/>
        <w:t>الصورة الرابعة: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أن تكون بين خمسة معانٍ وخمسة معانٍ أخرى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ومثاله قول المتنبي: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19"/>
        <w:gridCol w:w="561"/>
        <w:gridCol w:w="2114"/>
      </w:tblGrid>
      <w:tr w:rsidR="00742028" w:rsidRPr="00742028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أزورهم وسواد الليل يشفع لي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742028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وأنثني وبياض الصبح يغريني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فألفاظ الشطر الأول، وهي أزورهم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وسواد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والليل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ويشفع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ولي، وهي خمسة معانٍ جاءت في مقابلة ألفاظ الشطر الثاني: وهي أنثني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وبياض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والصبح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ويغري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ولي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وهي خمسة أيضًا، والمعنى: أزورهم في حماية الليل، وأعود تحت أشابة ضوء الصبح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ففي كلٍّ من يشفع لي، ويغريني، استعارتان مكنيتان.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pacing w:val="4"/>
          <w:sz w:val="20"/>
          <w:szCs w:val="20"/>
          <w:rtl/>
        </w:rPr>
      </w:pPr>
      <w:r w:rsidRPr="00742028">
        <w:rPr>
          <w:rFonts w:cs="AL-Hotham" w:hint="cs"/>
          <w:b/>
          <w:bCs/>
          <w:color w:val="000080"/>
          <w:spacing w:val="4"/>
          <w:sz w:val="20"/>
          <w:szCs w:val="20"/>
          <w:rtl/>
        </w:rPr>
        <w:t>الصورة الخامسة:</w:t>
      </w:r>
      <w:r w:rsidRPr="00742028">
        <w:rPr>
          <w:rFonts w:cs="AL-Hotham" w:hint="cs"/>
          <w:b/>
          <w:bCs/>
          <w:spacing w:val="4"/>
          <w:sz w:val="20"/>
          <w:szCs w:val="20"/>
          <w:rtl/>
        </w:rPr>
        <w:t xml:space="preserve"> أن تكون بين ستة معانٍ وستة معانٍ أخرى، ومثاله قول عنترة:</w:t>
      </w:r>
    </w:p>
    <w:tbl>
      <w:tblPr>
        <w:tblStyle w:val="a5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107"/>
        <w:gridCol w:w="568"/>
        <w:gridCol w:w="2119"/>
      </w:tblGrid>
      <w:tr w:rsidR="00742028" w:rsidRPr="00742028" w:rsidTr="00145F11">
        <w:trPr>
          <w:trHeight w:hRule="exact" w:val="510"/>
          <w:jc w:val="center"/>
        </w:trPr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على رأس عبد تاج عز يزينه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center"/>
              <w:rPr>
                <w:rFonts w:cs="AL-Hotham"/>
                <w:b/>
                <w:bCs/>
                <w:rtl/>
              </w:rPr>
            </w:pPr>
            <w:r w:rsidRPr="00742028">
              <w:rPr>
                <w:rFonts w:cs="AL-Hotham" w:hint="cs"/>
                <w:b/>
                <w:bCs/>
                <w:rtl/>
              </w:rPr>
              <w:t>*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742028" w:rsidRPr="00742028" w:rsidRDefault="00742028" w:rsidP="00742028">
            <w:pPr>
              <w:spacing w:after="120"/>
              <w:jc w:val="both"/>
              <w:rPr>
                <w:rFonts w:cs="AGA Furat Regular"/>
                <w:b/>
                <w:bCs/>
                <w:rtl/>
              </w:rPr>
            </w:pPr>
            <w:r w:rsidRPr="00742028">
              <w:rPr>
                <w:rFonts w:cs="AGA Furat Regular" w:hint="cs"/>
                <w:b/>
                <w:bCs/>
                <w:rtl/>
              </w:rPr>
              <w:t>وفي رجل حرٍّ قيد ذل يشينه</w:t>
            </w:r>
            <w:r w:rsidRPr="00742028">
              <w:rPr>
                <w:rFonts w:cs="AGA Furat Regular"/>
                <w:b/>
                <w:bCs/>
                <w:rtl/>
              </w:rPr>
              <w:br/>
            </w:r>
          </w:p>
        </w:tc>
      </w:tr>
    </w:tbl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  <w:rtl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ففي الشطر الأول ست كلمات تقابل نظيراتها من الشطر الثاني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وكلمات الشطر الأول الست، هي: على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ورأس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وعبد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وتاج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وعز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ويزينه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وكلمات الشطر الثاني الست، هي: في رجل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حر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قيد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ذل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،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يشينه. </w:t>
      </w:r>
    </w:p>
    <w:p w:rsidR="00742028" w:rsidRPr="00742028" w:rsidRDefault="00742028" w:rsidP="00742028">
      <w:pPr>
        <w:spacing w:after="120" w:line="240" w:lineRule="auto"/>
        <w:jc w:val="lowKashida"/>
        <w:rPr>
          <w:rFonts w:cs="AL-Hotham"/>
          <w:b/>
          <w:bCs/>
          <w:sz w:val="20"/>
          <w:szCs w:val="20"/>
        </w:rPr>
      </w:pPr>
      <w:r w:rsidRPr="00742028">
        <w:rPr>
          <w:rFonts w:cs="AL-Hotham" w:hint="cs"/>
          <w:b/>
          <w:bCs/>
          <w:sz w:val="20"/>
          <w:szCs w:val="20"/>
          <w:rtl/>
        </w:rPr>
        <w:t>وقد يبدو التكلف واضحًا في هذا البيت</w:t>
      </w:r>
      <w:r w:rsidRPr="00742028">
        <w:rPr>
          <w:rFonts w:cs="AL-Hotham" w:hint="cs"/>
          <w:b/>
          <w:bCs/>
          <w:sz w:val="20"/>
          <w:szCs w:val="20"/>
          <w:rtl/>
          <w:lang w:bidi="ar-EG"/>
        </w:rPr>
        <w:t>؛</w:t>
      </w:r>
      <w:r w:rsidRPr="00742028">
        <w:rPr>
          <w:rFonts w:cs="AL-Hotham" w:hint="cs"/>
          <w:b/>
          <w:bCs/>
          <w:sz w:val="20"/>
          <w:szCs w:val="20"/>
          <w:rtl/>
        </w:rPr>
        <w:t xml:space="preserve"> ولذا لا نجد في كلامهم أكثر من مقابلة ست بست.</w:t>
      </w:r>
    </w:p>
    <w:p w:rsidR="00742028" w:rsidRPr="00742028" w:rsidRDefault="00742028" w:rsidP="0074202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742028">
        <w:rPr>
          <w:rFonts w:asciiTheme="majorBidi" w:hAnsiTheme="majorBidi" w:cs="AL-Hotham" w:hint="cs"/>
          <w:b/>
          <w:bCs/>
          <w:sz w:val="20"/>
          <w:szCs w:val="20"/>
          <w:rtl/>
          <w:lang w:bidi="ar-IQ"/>
        </w:rPr>
        <w:t>المراجع والمصادر</w:t>
      </w:r>
    </w:p>
    <w:p w:rsidR="00742028" w:rsidRPr="00742028" w:rsidRDefault="00742028" w:rsidP="007420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القزويني ، زكريا بن محمد القزويني تحقيق: محمد السعدي فرهود ، (الإيضاح في علوم البلاغة)  ، طبعة رقم1، سنة النشر: 2001 م</w:t>
      </w:r>
    </w:p>
    <w:p w:rsidR="00742028" w:rsidRPr="00742028" w:rsidRDefault="00742028" w:rsidP="007420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 xml:space="preserve">الجرجاني، عبد القاهر الجرجاني، قرأه وعلق عليه محمود محمد شاكر،  (دلائل الاعجاز)  ، ط5، مكتبة الخانجي، 2004م.  </w:t>
      </w:r>
    </w:p>
    <w:p w:rsidR="00742028" w:rsidRPr="00742028" w:rsidRDefault="00742028" w:rsidP="007420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أبو موسى، د. محمد محمد أبو موسى،   (دلالات التراكيب دراسة بلاغية) ، القاهرة، مكتبة وهبة للطباعة والنشر والتوزيع، 1987م</w:t>
      </w:r>
    </w:p>
    <w:p w:rsidR="00742028" w:rsidRPr="00742028" w:rsidRDefault="00742028" w:rsidP="007420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المراغي، أحمد مصطفى المراغي،  (تاريخ علوم البلاغة و التعريف برجالها) ، القاهرة، مكتبة و مطبعة مصطفى البابي، ط1، 1950م</w:t>
      </w:r>
    </w:p>
    <w:p w:rsidR="00742028" w:rsidRPr="00742028" w:rsidRDefault="00742028" w:rsidP="007420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 xml:space="preserve">فيود ، د. بسيوني عبد الفتاح فيود ، (علم البيان: دراسة تحليلية لمسائل البيان) ، القاهرة، مؤسسة المختار ، دار المعالم الثقافية، الإحساء ، ط 2،  1998 م </w:t>
      </w:r>
    </w:p>
    <w:p w:rsidR="00742028" w:rsidRPr="00742028" w:rsidRDefault="00742028" w:rsidP="007420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الخوارزمي ، الشيخ يوسف بن أبي بكر بن محمد بن علي الخوارزمي الملقب بسراج الدين</w:t>
      </w:r>
      <w:r w:rsidRPr="00742028">
        <w:rPr>
          <w:rFonts w:asciiTheme="majorBidi" w:hAnsiTheme="majorBidi" w:cs="AL-Hotham"/>
          <w:b/>
          <w:bCs/>
          <w:sz w:val="20"/>
          <w:szCs w:val="20"/>
          <w:lang w:bidi="ar-IQ"/>
        </w:rPr>
        <w:t xml:space="preserve"> </w:t>
      </w:r>
      <w:r w:rsidRPr="00742028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 xml:space="preserve">السكاكي، (مفتاح العلوم)   ، لبنان، مكتبة المقهى، نشر دار الكتب العلمية، الطبعة الثانية ، 1987م </w:t>
      </w:r>
    </w:p>
    <w:p w:rsidR="00742028" w:rsidRPr="00742028" w:rsidRDefault="00742028" w:rsidP="007420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الشاطئ، عائشة بنت الشاطئ،  (التفسير البياني) ، مكتبة المجلس، الطبعة الأولى، 1962م</w:t>
      </w:r>
    </w:p>
    <w:p w:rsidR="00742028" w:rsidRPr="00742028" w:rsidRDefault="00742028" w:rsidP="007420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فيود، د. بسيوني عبد الفتاح فيود،  (علم البديع: دراسة تاريخية وفنية لأصول البلاغة ومسائل البديع) ،القاهرة، مؤسسة المختار، 2004</w:t>
      </w:r>
    </w:p>
    <w:p w:rsidR="00742028" w:rsidRPr="00742028" w:rsidRDefault="00742028" w:rsidP="007420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lang w:bidi="ar-IQ"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الصعيدي، عبد المتعال الصعيدي،  (البغية على  الإيضاح لتلخيص المفتاح في علوم البلاغة) ،مكتبة الآداب،  1999م</w:t>
      </w:r>
    </w:p>
    <w:p w:rsidR="00742028" w:rsidRPr="00742028" w:rsidRDefault="00742028" w:rsidP="007420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شاهين، كامل السيد شاهين،  (اللباب في العروض و القافية) ،القاهرة، الهيئة العامة لشئون الأميرية، 1978م</w:t>
      </w:r>
    </w:p>
    <w:p w:rsidR="00742028" w:rsidRPr="00742028" w:rsidRDefault="00742028" w:rsidP="007420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القيرواني، ابن رشيق القيرواني،  (العمدة في محاسن الشعر وآدابه) ،الناشر: دار الكتب العلمية، 2001م</w:t>
      </w:r>
    </w:p>
    <w:p w:rsidR="00742028" w:rsidRPr="00742028" w:rsidRDefault="00742028" w:rsidP="0074202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jc w:val="both"/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</w:pPr>
      <w:r w:rsidRPr="00742028">
        <w:rPr>
          <w:rFonts w:asciiTheme="majorBidi" w:hAnsiTheme="majorBidi" w:cs="AL-Hotham"/>
          <w:b/>
          <w:bCs/>
          <w:sz w:val="20"/>
          <w:szCs w:val="20"/>
          <w:rtl/>
          <w:lang w:bidi="ar-IQ"/>
        </w:rPr>
        <w:t>أبو موسى، د. محمد محمد أبو موسى،  (التصوير البياني) ،القاهرة، مكتبة وهبة للطباعة والنشر والتوزيع، 1997م</w:t>
      </w:r>
    </w:p>
    <w:p w:rsidR="00742028" w:rsidRDefault="00742028" w:rsidP="00742028">
      <w:pPr>
        <w:pStyle w:val="a3"/>
        <w:bidi/>
        <w:spacing w:before="0" w:beforeAutospacing="0" w:after="120" w:afterAutospacing="0" w:line="500" w:lineRule="exact"/>
        <w:jc w:val="lowKashida"/>
        <w:rPr>
          <w:rFonts w:asciiTheme="majorBidi" w:hAnsiTheme="majorBidi" w:cs="AL-Hotham"/>
          <w:sz w:val="32"/>
          <w:szCs w:val="32"/>
          <w:rtl/>
          <w:lang w:bidi="ar-IQ"/>
        </w:rPr>
        <w:sectPr w:rsidR="00742028" w:rsidSect="00742028">
          <w:type w:val="continuous"/>
          <w:pgSz w:w="11906" w:h="16838"/>
          <w:pgMar w:top="964" w:right="1021" w:bottom="964" w:left="1021" w:header="709" w:footer="709" w:gutter="0"/>
          <w:cols w:num="2" w:space="708"/>
          <w:bidi/>
          <w:rtlGutter/>
          <w:docGrid w:linePitch="360"/>
        </w:sectPr>
      </w:pPr>
    </w:p>
    <w:p w:rsidR="00742028" w:rsidRPr="00742028" w:rsidRDefault="00742028" w:rsidP="00742028">
      <w:pPr>
        <w:pStyle w:val="a3"/>
        <w:bidi/>
        <w:spacing w:before="0" w:beforeAutospacing="0" w:after="120" w:afterAutospacing="0" w:line="500" w:lineRule="exact"/>
        <w:jc w:val="lowKashida"/>
        <w:rPr>
          <w:rFonts w:asciiTheme="majorBidi" w:hAnsiTheme="majorBidi" w:cs="AL-Hotham"/>
          <w:sz w:val="32"/>
          <w:szCs w:val="32"/>
          <w:rtl/>
          <w:lang w:bidi="ar-IQ"/>
        </w:rPr>
      </w:pPr>
    </w:p>
    <w:p w:rsidR="00742028" w:rsidRPr="00E87483" w:rsidRDefault="00742028" w:rsidP="00742028">
      <w:pPr>
        <w:spacing w:after="120" w:line="520" w:lineRule="exact"/>
        <w:jc w:val="lowKashida"/>
        <w:rPr>
          <w:rFonts w:asciiTheme="majorBidi" w:hAnsiTheme="majorBidi" w:cs="AL-Hotham"/>
          <w:sz w:val="32"/>
          <w:szCs w:val="32"/>
          <w:rtl/>
        </w:rPr>
      </w:pPr>
    </w:p>
    <w:p w:rsidR="00742028" w:rsidRPr="00E87483" w:rsidRDefault="00742028" w:rsidP="00742028">
      <w:pPr>
        <w:spacing w:after="120" w:line="520" w:lineRule="exact"/>
        <w:jc w:val="lowKashida"/>
        <w:rPr>
          <w:rFonts w:asciiTheme="majorBidi" w:hAnsiTheme="majorBidi" w:cs="AL-Hotham"/>
          <w:sz w:val="32"/>
          <w:szCs w:val="32"/>
          <w:rtl/>
        </w:rPr>
      </w:pPr>
    </w:p>
    <w:p w:rsidR="00742028" w:rsidRPr="00742028" w:rsidRDefault="00742028" w:rsidP="00742028">
      <w:pPr>
        <w:rPr>
          <w:i/>
          <w:iCs/>
          <w:lang w:bidi="ar-EG"/>
        </w:rPr>
      </w:pPr>
    </w:p>
    <w:sectPr w:rsidR="00742028" w:rsidRPr="00742028" w:rsidSect="00742028">
      <w:type w:val="continuous"/>
      <w:pgSz w:w="11906" w:h="16838"/>
      <w:pgMar w:top="964" w:right="1021" w:bottom="964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Hotham">
    <w:charset w:val="B2"/>
    <w:family w:val="auto"/>
    <w:pitch w:val="variable"/>
    <w:sig w:usb0="00002001" w:usb1="00000000" w:usb2="00000000" w:usb3="00000000" w:csb0="00000040" w:csb1="00000000"/>
  </w:font>
  <w:font w:name="DecoType Thuluth">
    <w:altName w:val="Times New Roman"/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QCF_P264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200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AGA Furat Regular">
    <w:charset w:val="B2"/>
    <w:family w:val="auto"/>
    <w:pitch w:val="variable"/>
    <w:sig w:usb0="00002001" w:usb1="00000000" w:usb2="00000000" w:usb3="00000000" w:csb0="00000040" w:csb1="00000000"/>
  </w:font>
  <w:font w:name="QCF_P587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QCF_P539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C_ALYERMOOK">
    <w:charset w:val="B2"/>
    <w:family w:val="auto"/>
    <w:pitch w:val="variable"/>
    <w:sig w:usb0="00002001" w:usb1="00000000" w:usb2="00000000" w:usb3="00000000" w:csb0="00000040" w:csb1="00000000"/>
  </w:font>
  <w:font w:name="QCF_P170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277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QCF_P595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63C10"/>
    <w:multiLevelType w:val="hybridMultilevel"/>
    <w:tmpl w:val="F864D54C"/>
    <w:lvl w:ilvl="0" w:tplc="BCDCC496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9232C5"/>
    <w:multiLevelType w:val="hybridMultilevel"/>
    <w:tmpl w:val="EB7C74B4"/>
    <w:lvl w:ilvl="0" w:tplc="2BEA303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42028"/>
    <w:rsid w:val="00514443"/>
    <w:rsid w:val="00565A48"/>
    <w:rsid w:val="00641D4E"/>
    <w:rsid w:val="00742028"/>
    <w:rsid w:val="0076009D"/>
    <w:rsid w:val="009556CB"/>
    <w:rsid w:val="00BF7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6C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2028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420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74202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1252</Words>
  <Characters>7140</Characters>
  <Application>Microsoft Office Word</Application>
  <DocSecurity>0</DocSecurity>
  <Lines>59</Lines>
  <Paragraphs>16</Paragraphs>
  <ScaleCrop>false</ScaleCrop>
  <Company/>
  <LinksUpToDate>false</LinksUpToDate>
  <CharactersWithSpaces>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mohmed 2</dc:creator>
  <cp:lastModifiedBy>A</cp:lastModifiedBy>
  <cp:revision>2</cp:revision>
  <dcterms:created xsi:type="dcterms:W3CDTF">2013-06-14T12:16:00Z</dcterms:created>
  <dcterms:modified xsi:type="dcterms:W3CDTF">2013-06-17T08:25:00Z</dcterms:modified>
</cp:coreProperties>
</file>