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67A" w:rsidRPr="00687BAE" w:rsidRDefault="007C267A" w:rsidP="00687BAE">
      <w:pPr>
        <w:spacing w:line="240" w:lineRule="auto"/>
        <w:jc w:val="center"/>
        <w:rPr>
          <w:i/>
          <w:iCs/>
          <w:rtl/>
        </w:rPr>
      </w:pPr>
      <w:r w:rsidRPr="007C267A">
        <w:rPr>
          <w:rFonts w:asciiTheme="majorBidi" w:eastAsia="Calibri" w:hAnsiTheme="majorBidi" w:cs="AL-Hotham"/>
          <w:i/>
          <w:iCs/>
          <w:sz w:val="48"/>
          <w:szCs w:val="48"/>
          <w:rtl/>
        </w:rPr>
        <w:t>الفرق بين الاستعارة والمجاز المرسل</w:t>
      </w:r>
      <w:r w:rsidR="00687BAE">
        <w:rPr>
          <w:rFonts w:hint="cs"/>
          <w:i/>
          <w:iCs/>
          <w:rtl/>
        </w:rPr>
        <w:t xml:space="preserve"> </w:t>
      </w:r>
      <w:r w:rsidRPr="007C267A">
        <w:rPr>
          <w:rFonts w:cs="AL-Hotham" w:hint="cs"/>
          <w:i/>
          <w:iCs/>
          <w:sz w:val="48"/>
          <w:szCs w:val="48"/>
          <w:rtl/>
        </w:rPr>
        <w:t>(2)</w:t>
      </w:r>
    </w:p>
    <w:p w:rsidR="007C267A" w:rsidRPr="00E87483" w:rsidRDefault="007C267A" w:rsidP="007C267A">
      <w:pPr>
        <w:spacing w:line="240" w:lineRule="auto"/>
        <w:jc w:val="center"/>
        <w:rPr>
          <w:rFonts w:asciiTheme="majorBidi" w:hAnsiTheme="majorBidi" w:cs="AL-Hotham"/>
          <w:i/>
          <w:iCs/>
          <w:sz w:val="28"/>
          <w:szCs w:val="28"/>
          <w:rtl/>
        </w:rPr>
      </w:pPr>
      <w:r w:rsidRPr="00E87483">
        <w:rPr>
          <w:rFonts w:asciiTheme="majorBidi" w:hAnsiTheme="majorBidi" w:cs="AL-Hotham"/>
          <w:i/>
          <w:iCs/>
          <w:sz w:val="28"/>
          <w:szCs w:val="28"/>
          <w:rtl/>
        </w:rPr>
        <w:t xml:space="preserve">بحث  </w:t>
      </w:r>
      <w:proofErr w:type="spellStart"/>
      <w:r w:rsidRPr="00E87483">
        <w:rPr>
          <w:rFonts w:asciiTheme="majorBidi" w:hAnsiTheme="majorBidi" w:cs="AL-Hotham"/>
          <w:i/>
          <w:iCs/>
          <w:sz w:val="28"/>
          <w:szCs w:val="28"/>
          <w:rtl/>
        </w:rPr>
        <w:t>فى</w:t>
      </w:r>
      <w:proofErr w:type="spellEnd"/>
      <w:r w:rsidRPr="00E87483">
        <w:rPr>
          <w:rFonts w:asciiTheme="majorBidi" w:hAnsiTheme="majorBidi" w:cs="AL-Hotham"/>
          <w:i/>
          <w:iCs/>
          <w:sz w:val="28"/>
          <w:szCs w:val="28"/>
          <w:rtl/>
        </w:rPr>
        <w:t xml:space="preserve"> </w:t>
      </w:r>
      <w:r w:rsidRPr="00E87483">
        <w:rPr>
          <w:rFonts w:asciiTheme="majorBidi" w:hAnsiTheme="majorBidi" w:cs="AL-Hotham" w:hint="cs"/>
          <w:i/>
          <w:iCs/>
          <w:sz w:val="28"/>
          <w:szCs w:val="28"/>
          <w:rtl/>
        </w:rPr>
        <w:t>دراسات بلاغيه</w:t>
      </w:r>
    </w:p>
    <w:p w:rsidR="007C267A" w:rsidRPr="00E87483" w:rsidRDefault="007C267A" w:rsidP="008C0057">
      <w:pPr>
        <w:spacing w:line="240" w:lineRule="auto"/>
        <w:jc w:val="center"/>
        <w:rPr>
          <w:rFonts w:asciiTheme="majorBidi" w:hAnsiTheme="majorBidi" w:cs="AL-Hotham"/>
        </w:rPr>
      </w:pPr>
      <w:r w:rsidRPr="00E87483">
        <w:rPr>
          <w:rFonts w:asciiTheme="majorBidi" w:hAnsiTheme="majorBidi" w:cs="AL-Hotham"/>
          <w:rtl/>
        </w:rPr>
        <w:t xml:space="preserve">إعداد أ/ </w:t>
      </w:r>
      <w:proofErr w:type="spellStart"/>
      <w:r w:rsidR="008C0057" w:rsidRPr="008C0057">
        <w:rPr>
          <w:rFonts w:asciiTheme="majorBidi" w:hAnsiTheme="majorBidi" w:cs="AL-Hotham" w:hint="cs"/>
          <w:i/>
          <w:iCs/>
          <w:rtl/>
        </w:rPr>
        <w:t>ميريهان</w:t>
      </w:r>
      <w:proofErr w:type="spellEnd"/>
      <w:r w:rsidR="008C0057" w:rsidRPr="008C0057">
        <w:rPr>
          <w:rFonts w:asciiTheme="majorBidi" w:hAnsiTheme="majorBidi" w:cs="AL-Hotham" w:hint="cs"/>
          <w:i/>
          <w:iCs/>
          <w:rtl/>
        </w:rPr>
        <w:t xml:space="preserve"> مجدي محمود</w:t>
      </w:r>
    </w:p>
    <w:p w:rsidR="007C267A" w:rsidRPr="00E87483" w:rsidRDefault="007C267A" w:rsidP="007C267A">
      <w:pPr>
        <w:spacing w:line="240" w:lineRule="auto"/>
        <w:jc w:val="center"/>
        <w:rPr>
          <w:rFonts w:asciiTheme="majorBidi" w:hAnsiTheme="majorBidi" w:cs="AL-Hotham"/>
          <w:i/>
          <w:iCs/>
          <w:sz w:val="20"/>
          <w:szCs w:val="20"/>
        </w:rPr>
      </w:pPr>
      <w:r w:rsidRPr="00E87483">
        <w:rPr>
          <w:rFonts w:asciiTheme="majorBidi" w:hAnsiTheme="majorBidi" w:cs="AL-Hotham"/>
          <w:i/>
          <w:iCs/>
          <w:sz w:val="20"/>
          <w:szCs w:val="20"/>
          <w:rtl/>
        </w:rPr>
        <w:t>قسم اللغة العربية</w:t>
      </w:r>
    </w:p>
    <w:p w:rsidR="007C267A" w:rsidRPr="00E87483" w:rsidRDefault="007C267A" w:rsidP="007C267A">
      <w:pPr>
        <w:spacing w:line="240" w:lineRule="auto"/>
        <w:jc w:val="center"/>
        <w:rPr>
          <w:rFonts w:asciiTheme="majorBidi" w:hAnsiTheme="majorBidi" w:cs="AL-Hotham"/>
          <w:i/>
          <w:iCs/>
          <w:sz w:val="20"/>
          <w:szCs w:val="20"/>
        </w:rPr>
      </w:pPr>
      <w:r w:rsidRPr="00E87483">
        <w:rPr>
          <w:rFonts w:asciiTheme="majorBidi" w:hAnsiTheme="majorBidi" w:cs="AL-Hotham"/>
          <w:i/>
          <w:iCs/>
          <w:sz w:val="20"/>
          <w:szCs w:val="20"/>
          <w:rtl/>
        </w:rPr>
        <w:t>كلية اللغات – جامعة المدينة العالمية</w:t>
      </w:r>
    </w:p>
    <w:p w:rsidR="007C267A" w:rsidRPr="00E87483" w:rsidRDefault="007C267A" w:rsidP="007C267A">
      <w:pPr>
        <w:spacing w:line="240" w:lineRule="auto"/>
        <w:jc w:val="center"/>
        <w:rPr>
          <w:rFonts w:asciiTheme="majorBidi" w:hAnsiTheme="majorBidi" w:cs="AL-Hotham"/>
          <w:i/>
          <w:iCs/>
          <w:sz w:val="20"/>
          <w:szCs w:val="20"/>
          <w:rtl/>
        </w:rPr>
      </w:pPr>
      <w:r w:rsidRPr="00E87483">
        <w:rPr>
          <w:rFonts w:asciiTheme="majorBidi" w:hAnsiTheme="majorBidi" w:cs="AL-Hotham"/>
          <w:i/>
          <w:iCs/>
          <w:sz w:val="20"/>
          <w:szCs w:val="20"/>
          <w:rtl/>
        </w:rPr>
        <w:t>شاه علم – ماليزيا</w:t>
      </w:r>
    </w:p>
    <w:p w:rsidR="007C267A" w:rsidRPr="00E87483" w:rsidRDefault="008C0057" w:rsidP="007C267A">
      <w:pPr>
        <w:spacing w:line="240" w:lineRule="auto"/>
        <w:jc w:val="center"/>
        <w:rPr>
          <w:rFonts w:asciiTheme="majorBidi" w:hAnsiTheme="majorBidi" w:cs="AL-Hotham"/>
          <w:i/>
          <w:iCs/>
          <w:sz w:val="20"/>
          <w:szCs w:val="20"/>
        </w:rPr>
      </w:pPr>
      <w:r w:rsidRPr="008C0057">
        <w:rPr>
          <w:rFonts w:asciiTheme="majorBidi" w:hAnsiTheme="majorBidi" w:cs="AL-Hotham"/>
          <w:i/>
          <w:iCs/>
          <w:sz w:val="20"/>
          <w:szCs w:val="20"/>
        </w:rPr>
        <w:t>mirihan@mediu.ws</w:t>
      </w:r>
    </w:p>
    <w:p w:rsidR="007C267A" w:rsidRDefault="007C267A" w:rsidP="007C267A">
      <w:pPr>
        <w:spacing w:after="120" w:line="240" w:lineRule="auto"/>
        <w:jc w:val="lowKashida"/>
        <w:rPr>
          <w:rFonts w:asciiTheme="majorBidi" w:hAnsiTheme="majorBidi" w:cs="AL-Hotham"/>
          <w:sz w:val="18"/>
          <w:szCs w:val="18"/>
          <w:rtl/>
        </w:rPr>
        <w:sectPr w:rsidR="007C267A" w:rsidSect="00BF7572">
          <w:pgSz w:w="11906" w:h="16838"/>
          <w:pgMar w:top="964" w:right="1021" w:bottom="964" w:left="1021" w:header="709" w:footer="709" w:gutter="0"/>
          <w:cols w:space="708"/>
          <w:bidi/>
          <w:rtlGutter/>
          <w:docGrid w:linePitch="360"/>
        </w:sectPr>
      </w:pPr>
    </w:p>
    <w:p w:rsidR="007C267A" w:rsidRPr="007C267A" w:rsidRDefault="007C267A" w:rsidP="007C267A">
      <w:pPr>
        <w:spacing w:after="120" w:line="240" w:lineRule="auto"/>
        <w:jc w:val="lowKashida"/>
        <w:rPr>
          <w:rFonts w:asciiTheme="majorBidi" w:hAnsiTheme="majorBidi" w:cs="AL-Hotham"/>
          <w:b/>
          <w:bCs/>
          <w:sz w:val="18"/>
          <w:szCs w:val="18"/>
          <w:rtl/>
        </w:rPr>
      </w:pPr>
      <w:r w:rsidRPr="007C267A">
        <w:rPr>
          <w:rFonts w:asciiTheme="majorBidi" w:hAnsiTheme="majorBidi" w:cs="AL-Hotham"/>
          <w:b/>
          <w:bCs/>
          <w:sz w:val="18"/>
          <w:szCs w:val="18"/>
          <w:rtl/>
        </w:rPr>
        <w:lastRenderedPageBreak/>
        <w:t>خلاصة</w:t>
      </w:r>
      <w:r w:rsidRPr="007C267A">
        <w:rPr>
          <w:rFonts w:asciiTheme="majorBidi" w:hAnsiTheme="majorBidi" w:cs="AL-Hotham" w:hint="cs"/>
          <w:b/>
          <w:bCs/>
          <w:sz w:val="18"/>
          <w:szCs w:val="18"/>
          <w:rtl/>
        </w:rPr>
        <w:t xml:space="preserve"> ـــ</w:t>
      </w:r>
      <w:r w:rsidRPr="007C267A">
        <w:rPr>
          <w:rFonts w:asciiTheme="majorBidi" w:hAnsiTheme="majorBidi" w:cs="AL-Hotham"/>
          <w:b/>
          <w:bCs/>
          <w:sz w:val="18"/>
          <w:szCs w:val="18"/>
          <w:rtl/>
        </w:rPr>
        <w:t xml:space="preserve"> هذا البحث يبحث في </w:t>
      </w:r>
      <w:r w:rsidRPr="007C267A">
        <w:rPr>
          <w:rFonts w:asciiTheme="majorBidi" w:eastAsia="Calibri" w:hAnsiTheme="majorBidi" w:cs="AL-Hotham"/>
          <w:b/>
          <w:bCs/>
          <w:sz w:val="18"/>
          <w:szCs w:val="18"/>
          <w:rtl/>
        </w:rPr>
        <w:t>الفرق بين الاستعارة والمجاز المرسل</w:t>
      </w:r>
    </w:p>
    <w:p w:rsidR="007C267A" w:rsidRPr="007C267A" w:rsidRDefault="007C267A" w:rsidP="007C267A">
      <w:pPr>
        <w:spacing w:after="120" w:line="240" w:lineRule="auto"/>
        <w:jc w:val="lowKashida"/>
        <w:rPr>
          <w:rFonts w:asciiTheme="majorBidi" w:hAnsiTheme="majorBidi" w:cs="AL-Hotham"/>
          <w:b/>
          <w:bCs/>
          <w:sz w:val="18"/>
          <w:szCs w:val="18"/>
          <w:rtl/>
          <w:lang w:bidi="ar-EG"/>
        </w:rPr>
      </w:pPr>
      <w:r w:rsidRPr="007C267A">
        <w:rPr>
          <w:rFonts w:asciiTheme="majorBidi" w:hAnsiTheme="majorBidi" w:cs="AL-Hotham"/>
          <w:b/>
          <w:bCs/>
          <w:sz w:val="18"/>
          <w:szCs w:val="18"/>
          <w:rtl/>
        </w:rPr>
        <w:t>الكلمات المفتاحية</w:t>
      </w:r>
      <w:r w:rsidRPr="007C267A">
        <w:rPr>
          <w:rFonts w:asciiTheme="majorBidi" w:hAnsiTheme="majorBidi" w:cs="AL-Hotham" w:hint="cs"/>
          <w:b/>
          <w:bCs/>
          <w:sz w:val="18"/>
          <w:szCs w:val="18"/>
          <w:rtl/>
        </w:rPr>
        <w:t xml:space="preserve"> </w:t>
      </w:r>
      <w:r w:rsidRPr="007C267A">
        <w:rPr>
          <w:rFonts w:asciiTheme="majorBidi" w:hAnsiTheme="majorBidi" w:cs="AL-Hotham"/>
          <w:b/>
          <w:bCs/>
          <w:sz w:val="18"/>
          <w:szCs w:val="18"/>
          <w:rtl/>
        </w:rPr>
        <w:t>:</w:t>
      </w:r>
      <w:r w:rsidRPr="007C267A">
        <w:rPr>
          <w:rFonts w:cs="AL-Hotham" w:hint="cs"/>
          <w:b/>
          <w:bCs/>
          <w:sz w:val="18"/>
          <w:szCs w:val="18"/>
          <w:rtl/>
          <w:lang w:bidi="ar-EG"/>
        </w:rPr>
        <w:t xml:space="preserve"> اسم الكل</w:t>
      </w:r>
      <w:r w:rsidRPr="007C267A">
        <w:rPr>
          <w:rFonts w:asciiTheme="majorBidi" w:hAnsiTheme="majorBidi" w:cs="AL-Hotham" w:hint="cs"/>
          <w:b/>
          <w:bCs/>
          <w:sz w:val="18"/>
          <w:szCs w:val="18"/>
          <w:rtl/>
        </w:rPr>
        <w:t xml:space="preserve"> ، </w:t>
      </w:r>
      <w:r w:rsidRPr="007C267A">
        <w:rPr>
          <w:rFonts w:cs="AL-Hotham" w:hint="cs"/>
          <w:b/>
          <w:bCs/>
          <w:sz w:val="18"/>
          <w:szCs w:val="18"/>
          <w:rtl/>
          <w:lang w:bidi="ar-EG"/>
        </w:rPr>
        <w:t>الأنامل</w:t>
      </w:r>
      <w:r w:rsidRPr="007C267A">
        <w:rPr>
          <w:rFonts w:asciiTheme="majorBidi" w:hAnsiTheme="majorBidi" w:cs="AL-Hotham" w:hint="cs"/>
          <w:b/>
          <w:bCs/>
          <w:sz w:val="18"/>
          <w:szCs w:val="18"/>
          <w:rtl/>
        </w:rPr>
        <w:t xml:space="preserve"> ، </w:t>
      </w:r>
      <w:r w:rsidRPr="007C267A">
        <w:rPr>
          <w:rFonts w:cs="AL-Hotham" w:hint="cs"/>
          <w:b/>
          <w:bCs/>
          <w:sz w:val="18"/>
          <w:szCs w:val="18"/>
          <w:rtl/>
          <w:lang w:bidi="ar-EG"/>
        </w:rPr>
        <w:t>إطلاق لفظ</w:t>
      </w:r>
    </w:p>
    <w:p w:rsidR="007C267A" w:rsidRPr="007C267A" w:rsidRDefault="007C267A" w:rsidP="007C267A">
      <w:pPr>
        <w:pStyle w:val="a4"/>
        <w:numPr>
          <w:ilvl w:val="0"/>
          <w:numId w:val="1"/>
        </w:numPr>
        <w:spacing w:after="120"/>
        <w:jc w:val="center"/>
        <w:rPr>
          <w:rFonts w:asciiTheme="majorBidi" w:hAnsiTheme="majorBidi" w:cs="AL-Hotham"/>
          <w:b/>
          <w:bCs/>
          <w:sz w:val="18"/>
          <w:szCs w:val="18"/>
          <w:rtl/>
        </w:rPr>
      </w:pPr>
      <w:r w:rsidRPr="007C267A">
        <w:rPr>
          <w:rFonts w:asciiTheme="majorBidi" w:hAnsiTheme="majorBidi" w:cs="AL-Hotham"/>
          <w:b/>
          <w:bCs/>
          <w:sz w:val="18"/>
          <w:szCs w:val="18"/>
          <w:rtl/>
        </w:rPr>
        <w:t>المقدمة</w:t>
      </w:r>
    </w:p>
    <w:p w:rsidR="007C267A" w:rsidRPr="007C267A" w:rsidRDefault="007C267A" w:rsidP="007C267A">
      <w:pPr>
        <w:pStyle w:val="a3"/>
        <w:bidi/>
        <w:spacing w:before="0" w:beforeAutospacing="0" w:after="120" w:afterAutospacing="0"/>
        <w:jc w:val="lowKashida"/>
        <w:rPr>
          <w:rFonts w:asciiTheme="majorBidi" w:hAnsiTheme="majorBidi" w:cs="AL-Hotham"/>
          <w:b/>
          <w:bCs/>
          <w:sz w:val="18"/>
          <w:szCs w:val="18"/>
          <w:rtl/>
        </w:rPr>
      </w:pPr>
      <w:r w:rsidRPr="007C267A">
        <w:rPr>
          <w:rFonts w:asciiTheme="majorBidi" w:hAnsiTheme="majorBidi" w:cs="AL-Hotham"/>
          <w:b/>
          <w:bCs/>
          <w:sz w:val="18"/>
          <w:szCs w:val="18"/>
          <w:rtl/>
        </w:rPr>
        <w:t xml:space="preserve"> الحمد لله، والصلاة والسلام على سيدنا رسول الله، وعلى آله وصحبه ومن والاه، سوف نتحدث في هذا المقال عن </w:t>
      </w:r>
      <w:r w:rsidRPr="007C267A">
        <w:rPr>
          <w:rFonts w:asciiTheme="majorBidi" w:eastAsia="Calibri" w:hAnsiTheme="majorBidi" w:cs="AL-Hotham"/>
          <w:b/>
          <w:bCs/>
          <w:sz w:val="18"/>
          <w:szCs w:val="18"/>
          <w:rtl/>
        </w:rPr>
        <w:t>الفرق بين الاستعارة والمجاز المرسل</w:t>
      </w:r>
    </w:p>
    <w:p w:rsidR="007C267A" w:rsidRPr="007C267A" w:rsidRDefault="007C267A" w:rsidP="007C267A">
      <w:pPr>
        <w:pStyle w:val="a3"/>
        <w:numPr>
          <w:ilvl w:val="0"/>
          <w:numId w:val="1"/>
        </w:numPr>
        <w:bidi/>
        <w:spacing w:before="0" w:beforeAutospacing="0" w:after="120" w:afterAutospacing="0"/>
        <w:jc w:val="center"/>
        <w:rPr>
          <w:rFonts w:asciiTheme="majorBidi" w:hAnsiTheme="majorBidi" w:cs="AL-Hotham"/>
          <w:b/>
          <w:bCs/>
          <w:sz w:val="18"/>
          <w:szCs w:val="18"/>
          <w:rtl/>
        </w:rPr>
      </w:pPr>
      <w:r w:rsidRPr="007C267A">
        <w:rPr>
          <w:rFonts w:asciiTheme="majorBidi" w:hAnsiTheme="majorBidi" w:cs="AL-Hotham"/>
          <w:b/>
          <w:bCs/>
          <w:sz w:val="18"/>
          <w:szCs w:val="18"/>
          <w:rtl/>
        </w:rPr>
        <w:t>عنوان المقال</w:t>
      </w:r>
    </w:p>
    <w:p w:rsidR="007C267A" w:rsidRPr="007C267A" w:rsidRDefault="007C267A" w:rsidP="007C267A">
      <w:pPr>
        <w:spacing w:before="100" w:beforeAutospacing="1" w:after="100" w:afterAutospacing="1" w:line="240" w:lineRule="auto"/>
        <w:jc w:val="lowKashida"/>
        <w:rPr>
          <w:rFonts w:cs="AL-Hotham"/>
          <w:b/>
          <w:bCs/>
          <w:color w:val="000080"/>
          <w:sz w:val="18"/>
          <w:szCs w:val="18"/>
          <w:rtl/>
        </w:rPr>
      </w:pPr>
      <w:r w:rsidRPr="007C267A">
        <w:rPr>
          <w:rFonts w:cs="AL-Hotham" w:hint="cs"/>
          <w:b/>
          <w:bCs/>
          <w:color w:val="000080"/>
          <w:sz w:val="18"/>
          <w:szCs w:val="18"/>
          <w:rtl/>
          <w:lang w:bidi="ar-EG"/>
        </w:rPr>
        <w:t xml:space="preserve">مجاز مرسل، علاقته الكلية: </w:t>
      </w:r>
    </w:p>
    <w:p w:rsidR="007C267A" w:rsidRPr="007C267A" w:rsidRDefault="007C267A" w:rsidP="007C267A">
      <w:pPr>
        <w:spacing w:after="120" w:line="240" w:lineRule="auto"/>
        <w:jc w:val="lowKashida"/>
        <w:rPr>
          <w:rFonts w:cs="AL-Hotham"/>
          <w:b/>
          <w:bCs/>
          <w:sz w:val="18"/>
          <w:szCs w:val="18"/>
          <w:rtl/>
        </w:rPr>
      </w:pPr>
      <w:r w:rsidRPr="007C267A">
        <w:rPr>
          <w:rFonts w:cs="AL-Hotham" w:hint="cs"/>
          <w:b/>
          <w:bCs/>
          <w:sz w:val="18"/>
          <w:szCs w:val="18"/>
          <w:rtl/>
          <w:lang w:bidi="ar-EG"/>
        </w:rPr>
        <w:t xml:space="preserve">وهو أن يعبر عن الجزء بلفظ الكل، أي: يُطلق اسم الكل، ويراد جزؤه كقول الله تعالى: </w:t>
      </w:r>
      <w:r w:rsidRPr="007C267A">
        <w:rPr>
          <w:rFonts w:cs="DecoType Thuluth" w:hint="cs"/>
          <w:b/>
          <w:bCs/>
          <w:color w:val="008000"/>
          <w:sz w:val="18"/>
          <w:szCs w:val="18"/>
          <w:rtl/>
        </w:rPr>
        <w:t>{</w:t>
      </w:r>
      <w:r w:rsidRPr="007C267A">
        <w:rPr>
          <w:rFonts w:ascii="QCF_P004" w:hAnsi="QCF_P004" w:cs="QCF_P004"/>
          <w:b/>
          <w:bCs/>
          <w:color w:val="008000"/>
          <w:sz w:val="18"/>
          <w:szCs w:val="18"/>
          <w:rtl/>
        </w:rPr>
        <w:t>ﭲ ﭳ ﭴ ﭵ ﭶ ﭷ ﭸ ﭹ</w:t>
      </w:r>
      <w:r w:rsidRPr="007C267A">
        <w:rPr>
          <w:rFonts w:ascii="QCF_P004" w:hAnsi="QCF_P004" w:cs="DecoType Thuluth"/>
          <w:b/>
          <w:bCs/>
          <w:color w:val="008000"/>
          <w:sz w:val="18"/>
          <w:szCs w:val="18"/>
          <w:rtl/>
        </w:rPr>
        <w:t>}</w:t>
      </w:r>
      <w:r w:rsidRPr="007C267A">
        <w:rPr>
          <w:rFonts w:cs="AL-Hotham" w:hint="cs"/>
          <w:b/>
          <w:bCs/>
          <w:color w:val="008000"/>
          <w:sz w:val="18"/>
          <w:szCs w:val="18"/>
          <w:rtl/>
        </w:rPr>
        <w:t xml:space="preserve"> </w:t>
      </w:r>
      <w:r w:rsidRPr="007C267A">
        <w:rPr>
          <w:rFonts w:cs="AL-Hotham" w:hint="cs"/>
          <w:b/>
          <w:bCs/>
          <w:sz w:val="18"/>
          <w:szCs w:val="18"/>
          <w:rtl/>
        </w:rPr>
        <w:t>[البقرة: 19]</w:t>
      </w:r>
      <w:r w:rsidRPr="007C267A">
        <w:rPr>
          <w:rFonts w:cs="AL-Hotham" w:hint="cs"/>
          <w:b/>
          <w:bCs/>
          <w:sz w:val="18"/>
          <w:szCs w:val="18"/>
          <w:rtl/>
          <w:lang w:bidi="ar-EG"/>
        </w:rPr>
        <w:t xml:space="preserve">، وقوله: </w:t>
      </w:r>
      <w:r w:rsidRPr="007C267A">
        <w:rPr>
          <w:rFonts w:cs="DecoType Thuluth" w:hint="cs"/>
          <w:b/>
          <w:bCs/>
          <w:color w:val="008000"/>
          <w:sz w:val="18"/>
          <w:szCs w:val="18"/>
          <w:rtl/>
        </w:rPr>
        <w:t>{</w:t>
      </w:r>
      <w:r w:rsidRPr="007C267A">
        <w:rPr>
          <w:rFonts w:ascii="QCF_P570" w:hAnsi="QCF_P570" w:cs="QCF_P570"/>
          <w:b/>
          <w:bCs/>
          <w:color w:val="008000"/>
          <w:sz w:val="18"/>
          <w:szCs w:val="18"/>
          <w:rtl/>
        </w:rPr>
        <w:t>ﯠ ﯡ ﯢ ﯣ ﯤ ﯥ ﯦ ﯧ ﯨ ﯩ ﯪ</w:t>
      </w:r>
      <w:r w:rsidRPr="007C267A">
        <w:rPr>
          <w:rFonts w:cs="DecoType Thuluth" w:hint="cs"/>
          <w:b/>
          <w:bCs/>
          <w:color w:val="008000"/>
          <w:sz w:val="18"/>
          <w:szCs w:val="18"/>
          <w:rtl/>
        </w:rPr>
        <w:t>}</w:t>
      </w:r>
      <w:r w:rsidRPr="007C267A">
        <w:rPr>
          <w:rFonts w:cs="AL-Hotham" w:hint="cs"/>
          <w:b/>
          <w:bCs/>
          <w:color w:val="008000"/>
          <w:sz w:val="18"/>
          <w:szCs w:val="18"/>
          <w:rtl/>
        </w:rPr>
        <w:t xml:space="preserve"> </w:t>
      </w:r>
      <w:r w:rsidRPr="007C267A">
        <w:rPr>
          <w:rFonts w:cs="AL-Hotham" w:hint="cs"/>
          <w:b/>
          <w:bCs/>
          <w:sz w:val="18"/>
          <w:szCs w:val="18"/>
          <w:rtl/>
        </w:rPr>
        <w:t>[نوح: 7]</w:t>
      </w:r>
      <w:r w:rsidRPr="007C267A">
        <w:rPr>
          <w:rFonts w:cs="AL-Hotham" w:hint="cs"/>
          <w:b/>
          <w:bCs/>
          <w:sz w:val="18"/>
          <w:szCs w:val="18"/>
          <w:rtl/>
          <w:lang w:bidi="ar-EG"/>
        </w:rPr>
        <w:t>، فقد عبر بالأصابع في الآيتين، وأراد الأنامل من باب إطلاق لفظ الكل على الجزء مجازًا مرسلًا علاقته الكلية، والسر البلاغي في العدول عن الحقيقة إلى المجاز في الآيتين، هو رغبة القوم في تعطيل حاسة السمع بأقصى ما يمكن، مبالغة فيما يشعرون به من هول الصواعق، وفظاعتها في سورة: البقرة، ومبالغته في إعراضهم عن الحق في سورة: نوح.</w:t>
      </w:r>
    </w:p>
    <w:p w:rsidR="007C267A" w:rsidRPr="007C267A" w:rsidRDefault="007C267A" w:rsidP="007C267A">
      <w:pPr>
        <w:spacing w:after="120" w:line="240" w:lineRule="auto"/>
        <w:jc w:val="lowKashida"/>
        <w:rPr>
          <w:rFonts w:cs="AL-Hotham"/>
          <w:b/>
          <w:bCs/>
          <w:sz w:val="18"/>
          <w:szCs w:val="18"/>
          <w:rtl/>
          <w:lang w:bidi="ar-EG"/>
        </w:rPr>
      </w:pPr>
      <w:r w:rsidRPr="007C267A">
        <w:rPr>
          <w:rFonts w:cs="AL-Hotham" w:hint="cs"/>
          <w:b/>
          <w:bCs/>
          <w:sz w:val="18"/>
          <w:szCs w:val="18"/>
          <w:rtl/>
          <w:lang w:bidi="ar-EG"/>
        </w:rPr>
        <w:t xml:space="preserve">والقرينة في كل ذلك استحالة وضع الأصبع كلها في الأذن عادة. </w:t>
      </w:r>
    </w:p>
    <w:p w:rsidR="007C267A" w:rsidRPr="007C267A" w:rsidRDefault="007C267A" w:rsidP="007C267A">
      <w:pPr>
        <w:spacing w:after="120" w:line="240" w:lineRule="auto"/>
        <w:jc w:val="lowKashida"/>
        <w:rPr>
          <w:rFonts w:cs="AL-Hotham"/>
          <w:b/>
          <w:bCs/>
          <w:sz w:val="18"/>
          <w:szCs w:val="18"/>
          <w:rtl/>
        </w:rPr>
      </w:pPr>
      <w:r w:rsidRPr="007C267A">
        <w:rPr>
          <w:rFonts w:cs="AL-Hotham" w:hint="cs"/>
          <w:b/>
          <w:bCs/>
          <w:sz w:val="18"/>
          <w:szCs w:val="18"/>
          <w:rtl/>
          <w:lang w:bidi="ar-EG"/>
        </w:rPr>
        <w:t>ومن ذلك قول السموأل:</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4"/>
        <w:gridCol w:w="563"/>
        <w:gridCol w:w="2117"/>
      </w:tblGrid>
      <w:tr w:rsidR="007C267A" w:rsidRPr="007C267A" w:rsidTr="00145F11">
        <w:trPr>
          <w:trHeight w:hRule="exact" w:val="510"/>
          <w:jc w:val="center"/>
        </w:trPr>
        <w:tc>
          <w:tcPr>
            <w:tcW w:w="2909" w:type="dxa"/>
            <w:shd w:val="clear" w:color="auto" w:fill="auto"/>
            <w:vAlign w:val="center"/>
          </w:tcPr>
          <w:p w:rsidR="007C267A" w:rsidRPr="007C267A" w:rsidRDefault="007C267A" w:rsidP="007C267A">
            <w:pPr>
              <w:spacing w:after="120"/>
              <w:jc w:val="both"/>
              <w:rPr>
                <w:rFonts w:cs="AGA Furat Regular"/>
                <w:b/>
                <w:bCs/>
                <w:sz w:val="18"/>
                <w:szCs w:val="18"/>
                <w:rtl/>
              </w:rPr>
            </w:pPr>
            <w:r w:rsidRPr="007C267A">
              <w:rPr>
                <w:rFonts w:cs="AGA Furat Regular" w:hint="cs"/>
                <w:b/>
                <w:bCs/>
                <w:sz w:val="18"/>
                <w:szCs w:val="18"/>
                <w:rtl/>
                <w:lang w:bidi="ar-EG"/>
              </w:rPr>
              <w:t>تسيل على حد الظباة نفوسنا</w:t>
            </w:r>
            <w:r w:rsidRPr="007C267A">
              <w:rPr>
                <w:rFonts w:cs="AGA Furat Regular"/>
                <w:b/>
                <w:bCs/>
                <w:sz w:val="18"/>
                <w:szCs w:val="18"/>
                <w:rtl/>
              </w:rPr>
              <w:br/>
            </w:r>
          </w:p>
        </w:tc>
        <w:tc>
          <w:tcPr>
            <w:tcW w:w="709" w:type="dxa"/>
            <w:shd w:val="clear" w:color="auto" w:fill="auto"/>
            <w:vAlign w:val="center"/>
          </w:tcPr>
          <w:p w:rsidR="007C267A" w:rsidRPr="007C267A" w:rsidRDefault="007C267A" w:rsidP="007C267A">
            <w:pPr>
              <w:spacing w:after="120"/>
              <w:jc w:val="center"/>
              <w:rPr>
                <w:rFonts w:cs="AL-Hotham"/>
                <w:b/>
                <w:bCs/>
                <w:sz w:val="18"/>
                <w:szCs w:val="18"/>
                <w:rtl/>
              </w:rPr>
            </w:pPr>
            <w:r w:rsidRPr="007C267A">
              <w:rPr>
                <w:rFonts w:cs="AL-Hotham" w:hint="cs"/>
                <w:b/>
                <w:bCs/>
                <w:sz w:val="18"/>
                <w:szCs w:val="18"/>
                <w:rtl/>
              </w:rPr>
              <w:t>*</w:t>
            </w:r>
          </w:p>
        </w:tc>
        <w:tc>
          <w:tcPr>
            <w:tcW w:w="2909" w:type="dxa"/>
            <w:shd w:val="clear" w:color="auto" w:fill="auto"/>
            <w:vAlign w:val="center"/>
          </w:tcPr>
          <w:p w:rsidR="007C267A" w:rsidRPr="007C267A" w:rsidRDefault="007C267A" w:rsidP="007C267A">
            <w:pPr>
              <w:spacing w:after="120"/>
              <w:jc w:val="both"/>
              <w:rPr>
                <w:rFonts w:cs="AGA Furat Regular"/>
                <w:b/>
                <w:bCs/>
                <w:sz w:val="18"/>
                <w:szCs w:val="18"/>
                <w:rtl/>
              </w:rPr>
            </w:pPr>
            <w:r w:rsidRPr="007C267A">
              <w:rPr>
                <w:rFonts w:cs="AGA Furat Regular" w:hint="cs"/>
                <w:b/>
                <w:bCs/>
                <w:sz w:val="18"/>
                <w:szCs w:val="18"/>
                <w:rtl/>
                <w:lang w:bidi="ar-EG"/>
              </w:rPr>
              <w:t>وليست على غير الظباة تسيل</w:t>
            </w:r>
            <w:r w:rsidRPr="007C267A">
              <w:rPr>
                <w:rFonts w:cs="AGA Furat Regular"/>
                <w:b/>
                <w:bCs/>
                <w:sz w:val="18"/>
                <w:szCs w:val="18"/>
                <w:rtl/>
                <w:lang w:bidi="ar-EG"/>
              </w:rPr>
              <w:br/>
            </w:r>
          </w:p>
        </w:tc>
      </w:tr>
    </w:tbl>
    <w:p w:rsidR="007C267A" w:rsidRPr="007C267A" w:rsidRDefault="007C267A" w:rsidP="007C267A">
      <w:pPr>
        <w:spacing w:after="120" w:line="240" w:lineRule="auto"/>
        <w:jc w:val="lowKashida"/>
        <w:rPr>
          <w:rFonts w:cs="AL-Hotham"/>
          <w:b/>
          <w:bCs/>
          <w:sz w:val="18"/>
          <w:szCs w:val="18"/>
        </w:rPr>
      </w:pPr>
      <w:r w:rsidRPr="007C267A">
        <w:rPr>
          <w:rFonts w:cs="AL-Hotham" w:hint="cs"/>
          <w:b/>
          <w:bCs/>
          <w:sz w:val="18"/>
          <w:szCs w:val="18"/>
          <w:rtl/>
          <w:lang w:bidi="ar-EG"/>
        </w:rPr>
        <w:t>فقد عبر بالنفوس عن الدماء، وهو مجاز مرسل علاقته الكلية؛ لأن الدماء جزء من النفوس، والقرينة قوله تسيل؛ لأن السيلان يكون للدماء، وهكذا دواليك.</w:t>
      </w:r>
    </w:p>
    <w:p w:rsidR="007C267A" w:rsidRPr="007C267A" w:rsidRDefault="007C267A" w:rsidP="007C267A">
      <w:pPr>
        <w:spacing w:after="120" w:line="240" w:lineRule="auto"/>
        <w:jc w:val="lowKashida"/>
        <w:rPr>
          <w:rFonts w:cs="AL-Hotham"/>
          <w:b/>
          <w:bCs/>
          <w:color w:val="000080"/>
          <w:sz w:val="18"/>
          <w:szCs w:val="18"/>
          <w:rtl/>
        </w:rPr>
      </w:pPr>
      <w:r w:rsidRPr="007C267A">
        <w:rPr>
          <w:rFonts w:cs="AL-Hotham" w:hint="cs"/>
          <w:b/>
          <w:bCs/>
          <w:color w:val="000080"/>
          <w:sz w:val="18"/>
          <w:szCs w:val="18"/>
          <w:rtl/>
          <w:lang w:bidi="ar-EG"/>
        </w:rPr>
        <w:t xml:space="preserve">مجاز مرسل، علاقته اعتبار ما كان: </w:t>
      </w:r>
    </w:p>
    <w:p w:rsidR="007C267A" w:rsidRPr="007C267A" w:rsidRDefault="007C267A" w:rsidP="007C267A">
      <w:pPr>
        <w:spacing w:after="120" w:line="240" w:lineRule="auto"/>
        <w:jc w:val="lowKashida"/>
        <w:rPr>
          <w:rFonts w:cs="AL-Hotham"/>
          <w:b/>
          <w:bCs/>
          <w:sz w:val="18"/>
          <w:szCs w:val="18"/>
          <w:rtl/>
        </w:rPr>
      </w:pPr>
      <w:r w:rsidRPr="007C267A">
        <w:rPr>
          <w:rFonts w:cs="AL-Hotham" w:hint="cs"/>
          <w:b/>
          <w:bCs/>
          <w:sz w:val="18"/>
          <w:szCs w:val="18"/>
          <w:rtl/>
          <w:lang w:bidi="ar-EG"/>
        </w:rPr>
        <w:t xml:space="preserve">وهو أن يعبر عن الشيء باسم ما كان عليه من قبل، كما في قول الله تعالى: </w:t>
      </w:r>
      <w:r w:rsidRPr="007C267A">
        <w:rPr>
          <w:rFonts w:cs="DecoType Thuluth" w:hint="cs"/>
          <w:b/>
          <w:bCs/>
          <w:color w:val="008000"/>
          <w:sz w:val="18"/>
          <w:szCs w:val="18"/>
          <w:rtl/>
        </w:rPr>
        <w:t>{</w:t>
      </w:r>
      <w:r w:rsidRPr="007C267A">
        <w:rPr>
          <w:rFonts w:ascii="QCF_P077" w:hAnsi="QCF_P077" w:cs="QCF_P077"/>
          <w:b/>
          <w:bCs/>
          <w:color w:val="008000"/>
          <w:sz w:val="18"/>
          <w:szCs w:val="18"/>
          <w:rtl/>
        </w:rPr>
        <w:t>ﭰ ﭱ ﭲ ﭳ ﭴ ﭵ ﭶ ﭷ</w:t>
      </w:r>
      <w:r w:rsidRPr="007C267A">
        <w:rPr>
          <w:rFonts w:ascii="QCF_P077" w:hAnsi="QCF_P077" w:cs="DecoType Thuluth"/>
          <w:b/>
          <w:bCs/>
          <w:color w:val="008000"/>
          <w:sz w:val="18"/>
          <w:szCs w:val="18"/>
          <w:rtl/>
        </w:rPr>
        <w:t>}</w:t>
      </w:r>
      <w:r w:rsidRPr="007C267A">
        <w:rPr>
          <w:rFonts w:cs="AL-Hotham" w:hint="cs"/>
          <w:b/>
          <w:bCs/>
          <w:color w:val="008000"/>
          <w:sz w:val="18"/>
          <w:szCs w:val="18"/>
          <w:rtl/>
        </w:rPr>
        <w:t xml:space="preserve"> </w:t>
      </w:r>
      <w:r w:rsidRPr="007C267A">
        <w:rPr>
          <w:rFonts w:cs="AL-Hotham" w:hint="cs"/>
          <w:b/>
          <w:bCs/>
          <w:sz w:val="18"/>
          <w:szCs w:val="18"/>
          <w:rtl/>
        </w:rPr>
        <w:t>[النساء: 2]</w:t>
      </w:r>
      <w:r w:rsidRPr="007C267A">
        <w:rPr>
          <w:rFonts w:cs="AL-Hotham" w:hint="cs"/>
          <w:b/>
          <w:bCs/>
          <w:sz w:val="18"/>
          <w:szCs w:val="18"/>
          <w:rtl/>
          <w:lang w:bidi="ar-EG"/>
        </w:rPr>
        <w:t>، فاليتيم من مات أبوه ولم يبلغ الرشد، وهو بموجب الشرع لا تُسلم إليه أمواله؛ لعجزه عن التصرف فيها في هذه السن، وإنما تدفع إليه بعد أن يتجاوز سن اليتم ويصير رشيدًا.</w:t>
      </w:r>
    </w:p>
    <w:p w:rsidR="007C267A" w:rsidRPr="007C267A" w:rsidRDefault="007C267A" w:rsidP="007C267A">
      <w:pPr>
        <w:spacing w:after="120" w:line="240" w:lineRule="auto"/>
        <w:jc w:val="lowKashida"/>
        <w:rPr>
          <w:rFonts w:cs="AL-Hotham"/>
          <w:b/>
          <w:bCs/>
          <w:sz w:val="18"/>
          <w:szCs w:val="18"/>
          <w:rtl/>
          <w:lang w:bidi="ar-EG"/>
        </w:rPr>
      </w:pPr>
      <w:r w:rsidRPr="007C267A">
        <w:rPr>
          <w:rFonts w:cs="AL-Hotham" w:hint="cs"/>
          <w:b/>
          <w:bCs/>
          <w:sz w:val="18"/>
          <w:szCs w:val="18"/>
          <w:rtl/>
          <w:lang w:bidi="ar-EG"/>
        </w:rPr>
        <w:t>وتسميتهم إذن يتامى باعتبار ما كان قبل ذلك، والقرينة الأمر بدفع أموالهم إليهم؛ لاستحقاقهم التصرف فيها، وإيثار التعبير عنهم بلفظ اليتامى مع أن اليتم قد زال يفيد:</w:t>
      </w:r>
    </w:p>
    <w:p w:rsidR="007C267A" w:rsidRPr="007C267A" w:rsidRDefault="007C267A" w:rsidP="007C267A">
      <w:pPr>
        <w:spacing w:after="120" w:line="240" w:lineRule="auto"/>
        <w:jc w:val="lowKashida"/>
        <w:rPr>
          <w:rFonts w:cs="AL-Hotham"/>
          <w:b/>
          <w:bCs/>
          <w:sz w:val="18"/>
          <w:szCs w:val="18"/>
          <w:rtl/>
          <w:lang w:bidi="ar-EG"/>
        </w:rPr>
      </w:pPr>
      <w:r w:rsidRPr="007C267A">
        <w:rPr>
          <w:rFonts w:cs="AL-Hotham" w:hint="cs"/>
          <w:b/>
          <w:bCs/>
          <w:color w:val="000080"/>
          <w:sz w:val="18"/>
          <w:szCs w:val="18"/>
          <w:rtl/>
          <w:lang w:bidi="ar-EG"/>
        </w:rPr>
        <w:t>أولًا:</w:t>
      </w:r>
      <w:r w:rsidRPr="007C267A">
        <w:rPr>
          <w:rFonts w:cs="AL-Hotham" w:hint="cs"/>
          <w:b/>
          <w:bCs/>
          <w:sz w:val="18"/>
          <w:szCs w:val="18"/>
          <w:rtl/>
          <w:lang w:bidi="ar-EG"/>
        </w:rPr>
        <w:t xml:space="preserve"> الإنباء بسرعة إعطائهم أموالهم بمجرد ذهاب اليتم عنهم، فكأن صفة اليتم لا تزال عالقة بهم وقت دفع المال؛ لأنه يُدفع إليهم عقب زوالها مباشرة، وهذا واضح في قول الله تعالى: </w:t>
      </w:r>
      <w:r w:rsidRPr="007C267A">
        <w:rPr>
          <w:rFonts w:cs="DecoType Thuluth" w:hint="cs"/>
          <w:b/>
          <w:bCs/>
          <w:color w:val="008000"/>
          <w:sz w:val="18"/>
          <w:szCs w:val="18"/>
          <w:rtl/>
        </w:rPr>
        <w:t>{</w:t>
      </w:r>
      <w:r w:rsidRPr="007C267A">
        <w:rPr>
          <w:rFonts w:ascii="QCF_P077" w:hAnsi="QCF_P077" w:cs="QCF_P077"/>
          <w:b/>
          <w:bCs/>
          <w:color w:val="008000"/>
          <w:sz w:val="18"/>
          <w:szCs w:val="18"/>
          <w:rtl/>
        </w:rPr>
        <w:t>ﯫ ﯬ ﯭ ﯮ ﯯ ﯰ ﯱ</w:t>
      </w:r>
      <w:r w:rsidRPr="007C267A">
        <w:rPr>
          <w:rFonts w:ascii="QCF_P077" w:hAnsi="QCF_P077" w:cs="DecoType Thuluth"/>
          <w:b/>
          <w:bCs/>
          <w:color w:val="008000"/>
          <w:sz w:val="18"/>
          <w:szCs w:val="18"/>
          <w:rtl/>
        </w:rPr>
        <w:t>}</w:t>
      </w:r>
      <w:r w:rsidRPr="007C267A">
        <w:rPr>
          <w:rFonts w:cs="AL-Hotham" w:hint="cs"/>
          <w:b/>
          <w:bCs/>
          <w:color w:val="008000"/>
          <w:sz w:val="18"/>
          <w:szCs w:val="18"/>
          <w:rtl/>
        </w:rPr>
        <w:t xml:space="preserve"> </w:t>
      </w:r>
      <w:r w:rsidRPr="007C267A">
        <w:rPr>
          <w:rFonts w:cs="AL-Hotham" w:hint="cs"/>
          <w:b/>
          <w:bCs/>
          <w:sz w:val="18"/>
          <w:szCs w:val="18"/>
          <w:rtl/>
        </w:rPr>
        <w:t>[النساء: 6]</w:t>
      </w:r>
      <w:r w:rsidRPr="007C267A">
        <w:rPr>
          <w:rFonts w:cs="AL-Hotham" w:hint="cs"/>
          <w:b/>
          <w:bCs/>
          <w:sz w:val="18"/>
          <w:szCs w:val="18"/>
          <w:rtl/>
          <w:lang w:bidi="ar-EG"/>
        </w:rPr>
        <w:t xml:space="preserve">. </w:t>
      </w:r>
    </w:p>
    <w:p w:rsidR="007C267A" w:rsidRPr="007C267A" w:rsidRDefault="007C267A" w:rsidP="007C267A">
      <w:pPr>
        <w:spacing w:after="120" w:line="240" w:lineRule="auto"/>
        <w:jc w:val="lowKashida"/>
        <w:rPr>
          <w:rFonts w:cs="AL-Hotham"/>
          <w:b/>
          <w:bCs/>
          <w:sz w:val="18"/>
          <w:szCs w:val="18"/>
          <w:rtl/>
        </w:rPr>
      </w:pPr>
      <w:r w:rsidRPr="007C267A">
        <w:rPr>
          <w:rFonts w:cs="AL-Hotham" w:hint="cs"/>
          <w:b/>
          <w:bCs/>
          <w:color w:val="000080"/>
          <w:sz w:val="18"/>
          <w:szCs w:val="18"/>
          <w:rtl/>
          <w:lang w:bidi="ar-EG"/>
        </w:rPr>
        <w:t>ثانيًا:</w:t>
      </w:r>
      <w:r w:rsidRPr="007C267A">
        <w:rPr>
          <w:rFonts w:cs="AL-Hotham" w:hint="cs"/>
          <w:b/>
          <w:bCs/>
          <w:sz w:val="18"/>
          <w:szCs w:val="18"/>
          <w:rtl/>
          <w:lang w:bidi="ar-EG"/>
        </w:rPr>
        <w:t xml:space="preserve"> التذكير بحال هؤلاء اليتامى، وكيف حرموا من عطف وحنان الأبوة، وأنه لا يليق بالمؤمنين أن يطمعوا بمال من هذا شأنه.</w:t>
      </w:r>
    </w:p>
    <w:p w:rsidR="007C267A" w:rsidRPr="007C267A" w:rsidRDefault="007C267A" w:rsidP="007C267A">
      <w:pPr>
        <w:spacing w:after="120" w:line="240" w:lineRule="auto"/>
        <w:jc w:val="lowKashida"/>
        <w:rPr>
          <w:rFonts w:cs="AL-Hotham"/>
          <w:b/>
          <w:bCs/>
          <w:sz w:val="18"/>
          <w:szCs w:val="18"/>
          <w:rtl/>
        </w:rPr>
      </w:pPr>
      <w:r w:rsidRPr="007C267A">
        <w:rPr>
          <w:rFonts w:cs="AL-Hotham" w:hint="cs"/>
          <w:b/>
          <w:bCs/>
          <w:sz w:val="18"/>
          <w:szCs w:val="18"/>
          <w:rtl/>
          <w:lang w:bidi="ar-EG"/>
        </w:rPr>
        <w:t xml:space="preserve">ومن ذلك أيضًا قوله تعالى: </w:t>
      </w:r>
      <w:r w:rsidRPr="007C267A">
        <w:rPr>
          <w:rFonts w:cs="DecoType Thuluth" w:hint="cs"/>
          <w:b/>
          <w:bCs/>
          <w:color w:val="008000"/>
          <w:sz w:val="18"/>
          <w:szCs w:val="18"/>
          <w:rtl/>
        </w:rPr>
        <w:t>{</w:t>
      </w:r>
      <w:r w:rsidRPr="007C267A">
        <w:rPr>
          <w:rFonts w:ascii="QCF_P316" w:hAnsi="QCF_P316" w:cs="QCF_P316"/>
          <w:b/>
          <w:bCs/>
          <w:color w:val="008000"/>
          <w:sz w:val="18"/>
          <w:szCs w:val="18"/>
          <w:rtl/>
        </w:rPr>
        <w:t>ﯸ ﯹ ﯺ ﯻ ﯼ ﯽ ﯾ ﯿ ﰀ ﰁ ﰂ ﰃ ﰄ</w:t>
      </w:r>
      <w:r w:rsidRPr="007C267A">
        <w:rPr>
          <w:rFonts w:cs="DecoType Thuluth" w:hint="cs"/>
          <w:b/>
          <w:bCs/>
          <w:color w:val="008000"/>
          <w:sz w:val="18"/>
          <w:szCs w:val="18"/>
          <w:rtl/>
        </w:rPr>
        <w:t>}</w:t>
      </w:r>
      <w:r w:rsidRPr="007C267A">
        <w:rPr>
          <w:rFonts w:cs="AL-Hotham" w:hint="cs"/>
          <w:b/>
          <w:bCs/>
          <w:color w:val="008000"/>
          <w:sz w:val="18"/>
          <w:szCs w:val="18"/>
          <w:rtl/>
        </w:rPr>
        <w:t xml:space="preserve"> </w:t>
      </w:r>
      <w:r w:rsidRPr="007C267A">
        <w:rPr>
          <w:rFonts w:cs="AL-Hotham" w:hint="cs"/>
          <w:b/>
          <w:bCs/>
          <w:sz w:val="18"/>
          <w:szCs w:val="18"/>
          <w:rtl/>
        </w:rPr>
        <w:t>[طه: 74]</w:t>
      </w:r>
      <w:r w:rsidRPr="007C267A">
        <w:rPr>
          <w:rFonts w:cs="AL-Hotham" w:hint="cs"/>
          <w:b/>
          <w:bCs/>
          <w:sz w:val="18"/>
          <w:szCs w:val="18"/>
          <w:rtl/>
          <w:lang w:bidi="ar-EG"/>
        </w:rPr>
        <w:t xml:space="preserve">، وقد سماه مجرمًا باعتبار ما كان عليه في الدنيا؛ لأن المرء لا يوصف بالإجرام بعد الممات إلا باعتبار حاله التي كان عليها من قبل. </w:t>
      </w:r>
    </w:p>
    <w:p w:rsidR="007C267A" w:rsidRPr="007C267A" w:rsidRDefault="007C267A" w:rsidP="007C267A">
      <w:pPr>
        <w:spacing w:after="120" w:line="240" w:lineRule="auto"/>
        <w:jc w:val="lowKashida"/>
        <w:rPr>
          <w:rFonts w:cs="AL-Hotham"/>
          <w:b/>
          <w:bCs/>
          <w:sz w:val="18"/>
          <w:szCs w:val="18"/>
          <w:rtl/>
        </w:rPr>
      </w:pPr>
      <w:r w:rsidRPr="007C267A">
        <w:rPr>
          <w:rFonts w:cs="AL-Hotham" w:hint="cs"/>
          <w:b/>
          <w:bCs/>
          <w:sz w:val="18"/>
          <w:szCs w:val="18"/>
          <w:rtl/>
          <w:lang w:bidi="ar-EG"/>
        </w:rPr>
        <w:t>ويومئ هذا الوصف بالحال الذي يكون عليه مجرمًا يوم القيامة، حيث تبدو عليه آثار الذلة، والمهانة، والندم، وكأن صفة الإجرام تظل لاصقة به في هذا اليوم، ووراء ذلك ما وراءه من شدة العذاب والعقاب.</w:t>
      </w:r>
    </w:p>
    <w:p w:rsidR="007C267A" w:rsidRPr="007C267A" w:rsidRDefault="007C267A" w:rsidP="007C267A">
      <w:pPr>
        <w:spacing w:before="100" w:beforeAutospacing="1" w:after="100" w:afterAutospacing="1" w:line="240" w:lineRule="auto"/>
        <w:jc w:val="lowKashida"/>
        <w:rPr>
          <w:rFonts w:cs="AL-Hotham"/>
          <w:b/>
          <w:bCs/>
          <w:color w:val="000080"/>
          <w:sz w:val="18"/>
          <w:szCs w:val="18"/>
          <w:rtl/>
        </w:rPr>
      </w:pPr>
      <w:r w:rsidRPr="007C267A">
        <w:rPr>
          <w:rFonts w:cs="AL-Hotham" w:hint="cs"/>
          <w:b/>
          <w:bCs/>
          <w:color w:val="000080"/>
          <w:sz w:val="18"/>
          <w:szCs w:val="18"/>
          <w:rtl/>
          <w:lang w:bidi="ar-EG"/>
        </w:rPr>
        <w:lastRenderedPageBreak/>
        <w:t>مجاز مرسل، علاقة اعتبار ما يكون:</w:t>
      </w:r>
    </w:p>
    <w:p w:rsidR="007C267A" w:rsidRPr="007C267A" w:rsidRDefault="007C267A" w:rsidP="007C267A">
      <w:pPr>
        <w:spacing w:after="120" w:line="240" w:lineRule="auto"/>
        <w:jc w:val="lowKashida"/>
        <w:rPr>
          <w:rFonts w:cs="AL-Hotham"/>
          <w:b/>
          <w:bCs/>
          <w:sz w:val="18"/>
          <w:szCs w:val="18"/>
          <w:rtl/>
        </w:rPr>
      </w:pPr>
      <w:r w:rsidRPr="007C267A">
        <w:rPr>
          <w:rFonts w:cs="AL-Hotham" w:hint="cs"/>
          <w:b/>
          <w:bCs/>
          <w:sz w:val="18"/>
          <w:szCs w:val="18"/>
          <w:rtl/>
          <w:lang w:bidi="ar-EG"/>
        </w:rPr>
        <w:t xml:space="preserve">وهو أن يُعبر عن الشيء باسم ما يؤول إليه في المستقبل، كما في قول الله تعالى: </w:t>
      </w:r>
      <w:r w:rsidRPr="007C267A">
        <w:rPr>
          <w:rFonts w:cs="DecoType Thuluth" w:hint="cs"/>
          <w:b/>
          <w:bCs/>
          <w:color w:val="008000"/>
          <w:sz w:val="18"/>
          <w:szCs w:val="18"/>
          <w:rtl/>
        </w:rPr>
        <w:t>{</w:t>
      </w:r>
      <w:r w:rsidRPr="007C267A">
        <w:rPr>
          <w:rFonts w:ascii="QCF_P239" w:hAnsi="QCF_P239" w:cs="QCF_P239"/>
          <w:b/>
          <w:bCs/>
          <w:color w:val="008000"/>
          <w:sz w:val="18"/>
          <w:szCs w:val="18"/>
          <w:rtl/>
        </w:rPr>
        <w:t>ﯚ ﯛ ﯜ ﯝ ﯞ ﯟ</w:t>
      </w:r>
      <w:r w:rsidRPr="007C267A">
        <w:rPr>
          <w:rFonts w:cs="DecoType Thuluth" w:hint="cs"/>
          <w:b/>
          <w:bCs/>
          <w:color w:val="008000"/>
          <w:sz w:val="18"/>
          <w:szCs w:val="18"/>
          <w:rtl/>
        </w:rPr>
        <w:t>}</w:t>
      </w:r>
      <w:r w:rsidRPr="007C267A">
        <w:rPr>
          <w:rFonts w:cs="AL-Hotham" w:hint="cs"/>
          <w:b/>
          <w:bCs/>
          <w:color w:val="008000"/>
          <w:sz w:val="18"/>
          <w:szCs w:val="18"/>
          <w:rtl/>
        </w:rPr>
        <w:t xml:space="preserve"> </w:t>
      </w:r>
      <w:r w:rsidRPr="007C267A">
        <w:rPr>
          <w:rFonts w:cs="AL-Hotham" w:hint="cs"/>
          <w:b/>
          <w:bCs/>
          <w:sz w:val="18"/>
          <w:szCs w:val="18"/>
          <w:rtl/>
        </w:rPr>
        <w:t>[يوسف: 36]</w:t>
      </w:r>
      <w:r w:rsidRPr="007C267A">
        <w:rPr>
          <w:rFonts w:cs="AL-Hotham" w:hint="cs"/>
          <w:b/>
          <w:bCs/>
          <w:sz w:val="18"/>
          <w:szCs w:val="18"/>
          <w:rtl/>
          <w:lang w:bidi="ar-EG"/>
        </w:rPr>
        <w:t xml:space="preserve">، يريد عنبًا يؤول عصيره إلى خمر؛ لأن الخمر عصير، والعصير لا يعصر، وإيثار لفظ الخمر بالتعبير ينبئ بالإثم الذي يرتكبه العاصر، فهو لا يعصر عنبًا، وإنما يعصر خمرًا؛ ولذا قال النبي </w:t>
      </w:r>
      <w:r w:rsidRPr="007C267A">
        <w:rPr>
          <w:rFonts w:ascii="AGA Arabesque" w:hAnsi="AGA Arabesque"/>
          <w:b/>
          <w:bCs/>
          <w:position w:val="-4"/>
          <w:sz w:val="18"/>
          <w:szCs w:val="18"/>
          <w:lang w:bidi="ar-EG"/>
        </w:rPr>
        <w:t></w:t>
      </w:r>
      <w:r w:rsidRPr="007C267A">
        <w:rPr>
          <w:rFonts w:cs="AL-Hotham" w:hint="cs"/>
          <w:b/>
          <w:bCs/>
          <w:sz w:val="18"/>
          <w:szCs w:val="18"/>
          <w:rtl/>
          <w:lang w:bidi="ar-EG"/>
        </w:rPr>
        <w:t xml:space="preserve">: </w:t>
      </w:r>
      <w:r w:rsidRPr="007C267A">
        <w:rPr>
          <w:rFonts w:cs="AL-Hotham" w:hint="cs"/>
          <w:b/>
          <w:bCs/>
          <w:color w:val="0000FF"/>
          <w:sz w:val="18"/>
          <w:szCs w:val="18"/>
          <w:rtl/>
          <w:lang w:bidi="ar-EG"/>
        </w:rPr>
        <w:t>((لعن الله الخمر، وعاصرها، ومعتصرها))</w:t>
      </w:r>
      <w:r w:rsidRPr="007C267A">
        <w:rPr>
          <w:rFonts w:cs="AL-Hotham" w:hint="cs"/>
          <w:b/>
          <w:bCs/>
          <w:sz w:val="18"/>
          <w:szCs w:val="18"/>
          <w:rtl/>
          <w:lang w:bidi="ar-EG"/>
        </w:rPr>
        <w:t>.</w:t>
      </w:r>
    </w:p>
    <w:p w:rsidR="007C267A" w:rsidRPr="007C267A" w:rsidRDefault="007C267A" w:rsidP="007C267A">
      <w:pPr>
        <w:spacing w:after="120" w:line="240" w:lineRule="auto"/>
        <w:jc w:val="both"/>
        <w:rPr>
          <w:rFonts w:cs="AL-Hotham"/>
          <w:b/>
          <w:bCs/>
          <w:sz w:val="18"/>
          <w:szCs w:val="18"/>
          <w:rtl/>
        </w:rPr>
      </w:pPr>
      <w:r w:rsidRPr="007C267A">
        <w:rPr>
          <w:rFonts w:cs="AL-Hotham" w:hint="cs"/>
          <w:b/>
          <w:bCs/>
          <w:sz w:val="18"/>
          <w:szCs w:val="18"/>
          <w:rtl/>
          <w:lang w:bidi="ar-EG"/>
        </w:rPr>
        <w:t xml:space="preserve">ومن المرسل الذي علاقته اعتبار ما يكون، قوله تعالى: </w:t>
      </w:r>
      <w:r w:rsidRPr="007C267A">
        <w:rPr>
          <w:rFonts w:cs="DecoType Thuluth" w:hint="cs"/>
          <w:b/>
          <w:bCs/>
          <w:color w:val="008000"/>
          <w:sz w:val="18"/>
          <w:szCs w:val="18"/>
          <w:rtl/>
        </w:rPr>
        <w:t>{</w:t>
      </w:r>
      <w:r w:rsidRPr="007C267A">
        <w:rPr>
          <w:rFonts w:ascii="QCF_P461" w:hAnsi="QCF_P461" w:cs="QCF_P461"/>
          <w:b/>
          <w:bCs/>
          <w:color w:val="008000"/>
          <w:sz w:val="18"/>
          <w:szCs w:val="18"/>
          <w:rtl/>
        </w:rPr>
        <w:t>ﰁ ﰂ ﰃ ﰄ</w:t>
      </w:r>
      <w:r w:rsidRPr="007C267A">
        <w:rPr>
          <w:rFonts w:ascii="QCF_P461" w:hAnsi="QCF_P461" w:cs="DecoType Thuluth"/>
          <w:b/>
          <w:bCs/>
          <w:color w:val="008000"/>
          <w:sz w:val="18"/>
          <w:szCs w:val="18"/>
          <w:rtl/>
        </w:rPr>
        <w:t>}</w:t>
      </w:r>
      <w:r w:rsidRPr="007C267A">
        <w:rPr>
          <w:rFonts w:cs="AL-Hotham" w:hint="cs"/>
          <w:b/>
          <w:bCs/>
          <w:color w:val="008000"/>
          <w:sz w:val="18"/>
          <w:szCs w:val="18"/>
          <w:rtl/>
        </w:rPr>
        <w:t xml:space="preserve"> </w:t>
      </w:r>
      <w:r w:rsidRPr="007C267A">
        <w:rPr>
          <w:rFonts w:cs="AL-Hotham" w:hint="cs"/>
          <w:b/>
          <w:bCs/>
          <w:sz w:val="18"/>
          <w:szCs w:val="18"/>
          <w:rtl/>
        </w:rPr>
        <w:t>[الزمر: 30]</w:t>
      </w:r>
      <w:r w:rsidRPr="007C267A">
        <w:rPr>
          <w:rFonts w:cs="AL-Hotham" w:hint="cs"/>
          <w:b/>
          <w:bCs/>
          <w:sz w:val="18"/>
          <w:szCs w:val="18"/>
          <w:rtl/>
          <w:lang w:bidi="ar-EG"/>
        </w:rPr>
        <w:t xml:space="preserve">، يريد أن مآله إلى الموت، وهم كذلك بقرينة الخطاب؛ لأن من مات فعلًا لا يخاطب، ونحوه قوله تعالى: </w:t>
      </w:r>
      <w:r w:rsidRPr="007C267A">
        <w:rPr>
          <w:rFonts w:cs="DecoType Thuluth" w:hint="cs"/>
          <w:b/>
          <w:bCs/>
          <w:color w:val="008000"/>
          <w:sz w:val="18"/>
          <w:szCs w:val="18"/>
          <w:rtl/>
        </w:rPr>
        <w:t>{</w:t>
      </w:r>
      <w:r w:rsidRPr="007C267A">
        <w:rPr>
          <w:rFonts w:ascii="QCF_P571" w:hAnsi="QCF_P571" w:cs="QCF_P571"/>
          <w:b/>
          <w:bCs/>
          <w:color w:val="008000"/>
          <w:sz w:val="18"/>
          <w:szCs w:val="18"/>
          <w:rtl/>
        </w:rPr>
        <w:t>ﯫ ﯬ ﯭ ﯮ ﯯ ﯰ ﯱ ﯲ ﯳ ﯴ ﯵ</w:t>
      </w:r>
      <w:r w:rsidRPr="007C267A">
        <w:rPr>
          <w:rFonts w:cs="AL-Hotham" w:hint="cs"/>
          <w:b/>
          <w:bCs/>
          <w:color w:val="008000"/>
          <w:sz w:val="18"/>
          <w:szCs w:val="18"/>
          <w:rtl/>
        </w:rPr>
        <w:t xml:space="preserve"> </w:t>
      </w:r>
      <w:r w:rsidRPr="007C267A">
        <w:rPr>
          <w:rFonts w:ascii="QCF_P571" w:hAnsi="QCF_P571" w:cs="QCF_P571"/>
          <w:b/>
          <w:bCs/>
          <w:color w:val="008000"/>
          <w:sz w:val="18"/>
          <w:szCs w:val="18"/>
          <w:rtl/>
        </w:rPr>
        <w:t>ﯶ ﯷ ﯸ ﯹ ﯺ ﯻ ﯼ ﯽ ﯾ ﯿ ﰀ</w:t>
      </w:r>
      <w:r w:rsidRPr="007C267A">
        <w:rPr>
          <w:rFonts w:cs="DecoType Thuluth" w:hint="cs"/>
          <w:b/>
          <w:bCs/>
          <w:color w:val="008000"/>
          <w:sz w:val="18"/>
          <w:szCs w:val="18"/>
          <w:rtl/>
        </w:rPr>
        <w:t>}</w:t>
      </w:r>
      <w:r w:rsidRPr="007C267A">
        <w:rPr>
          <w:rFonts w:cs="AL-Hotham" w:hint="cs"/>
          <w:b/>
          <w:bCs/>
          <w:color w:val="008000"/>
          <w:sz w:val="18"/>
          <w:szCs w:val="18"/>
          <w:rtl/>
        </w:rPr>
        <w:t xml:space="preserve"> </w:t>
      </w:r>
      <w:r w:rsidRPr="007C267A">
        <w:rPr>
          <w:rFonts w:cs="AL-Hotham" w:hint="cs"/>
          <w:b/>
          <w:bCs/>
          <w:sz w:val="18"/>
          <w:szCs w:val="18"/>
          <w:rtl/>
        </w:rPr>
        <w:t>[نوح:</w:t>
      </w:r>
      <w:r w:rsidRPr="007C267A">
        <w:rPr>
          <w:rFonts w:cs="AL-Hotham" w:hint="cs"/>
          <w:b/>
          <w:bCs/>
          <w:sz w:val="18"/>
          <w:szCs w:val="18"/>
          <w:rtl/>
          <w:lang w:bidi="ar-EG"/>
        </w:rPr>
        <w:t xml:space="preserve"> 26</w:t>
      </w:r>
      <w:r w:rsidRPr="007C267A">
        <w:rPr>
          <w:rFonts w:cs="Traditional Arabic" w:hint="cs"/>
          <w:b/>
          <w:bCs/>
          <w:sz w:val="18"/>
          <w:szCs w:val="18"/>
          <w:rtl/>
          <w:lang w:bidi="ar-EG"/>
        </w:rPr>
        <w:t>-</w:t>
      </w:r>
      <w:r w:rsidRPr="007C267A">
        <w:rPr>
          <w:rFonts w:cs="AL-Hotham" w:hint="cs"/>
          <w:b/>
          <w:bCs/>
          <w:sz w:val="18"/>
          <w:szCs w:val="18"/>
          <w:rtl/>
        </w:rPr>
        <w:t xml:space="preserve"> 27]</w:t>
      </w:r>
      <w:r w:rsidRPr="007C267A">
        <w:rPr>
          <w:rFonts w:cs="AL-Hotham" w:hint="cs"/>
          <w:b/>
          <w:bCs/>
          <w:sz w:val="18"/>
          <w:szCs w:val="18"/>
          <w:rtl/>
          <w:lang w:bidi="ar-EG"/>
        </w:rPr>
        <w:t>، فالمولود يولد على الفطرة مؤمنًا نقيًّا؛ سواء أكان أبواه مؤمنين أو كافرين، والمراد إذن فاجرًا كفارًا، باعتبار ما يكون.</w:t>
      </w:r>
    </w:p>
    <w:p w:rsidR="007C267A" w:rsidRPr="007C267A" w:rsidRDefault="007C267A" w:rsidP="007C267A">
      <w:pPr>
        <w:spacing w:before="100" w:beforeAutospacing="1" w:after="100" w:afterAutospacing="1" w:line="240" w:lineRule="auto"/>
        <w:jc w:val="lowKashida"/>
        <w:rPr>
          <w:rFonts w:cs="AL-Hotham"/>
          <w:b/>
          <w:bCs/>
          <w:color w:val="000080"/>
          <w:sz w:val="18"/>
          <w:szCs w:val="18"/>
          <w:rtl/>
        </w:rPr>
      </w:pPr>
      <w:r w:rsidRPr="007C267A">
        <w:rPr>
          <w:rFonts w:cs="AL-Hotham" w:hint="cs"/>
          <w:b/>
          <w:bCs/>
          <w:color w:val="000080"/>
          <w:sz w:val="18"/>
          <w:szCs w:val="18"/>
          <w:rtl/>
          <w:lang w:bidi="ar-EG"/>
        </w:rPr>
        <w:t xml:space="preserve">محاز مرسل علاقته المحلية: </w:t>
      </w:r>
    </w:p>
    <w:p w:rsidR="007C267A" w:rsidRPr="007C267A" w:rsidRDefault="007C267A" w:rsidP="007C267A">
      <w:pPr>
        <w:spacing w:after="120" w:line="240" w:lineRule="auto"/>
        <w:jc w:val="lowKashida"/>
        <w:rPr>
          <w:rFonts w:cs="AL-Hotham"/>
          <w:b/>
          <w:bCs/>
          <w:sz w:val="18"/>
          <w:szCs w:val="18"/>
          <w:rtl/>
        </w:rPr>
      </w:pPr>
      <w:r w:rsidRPr="007C267A">
        <w:rPr>
          <w:rFonts w:cs="AL-Hotham" w:hint="cs"/>
          <w:b/>
          <w:bCs/>
          <w:sz w:val="18"/>
          <w:szCs w:val="18"/>
          <w:rtl/>
          <w:lang w:bidi="ar-EG"/>
        </w:rPr>
        <w:t xml:space="preserve">وهو أن يذكر اسم المحل، ويراد الحال به، كما في قوله: </w:t>
      </w:r>
      <w:r w:rsidRPr="007C267A">
        <w:rPr>
          <w:rFonts w:cs="DecoType Thuluth" w:hint="cs"/>
          <w:b/>
          <w:bCs/>
          <w:color w:val="008000"/>
          <w:sz w:val="18"/>
          <w:szCs w:val="18"/>
          <w:rtl/>
        </w:rPr>
        <w:t>{</w:t>
      </w:r>
      <w:r w:rsidRPr="007C267A">
        <w:rPr>
          <w:rFonts w:ascii="QCF_P245" w:hAnsi="QCF_P245" w:cs="QCF_P245"/>
          <w:b/>
          <w:bCs/>
          <w:color w:val="008000"/>
          <w:sz w:val="18"/>
          <w:szCs w:val="18"/>
          <w:rtl/>
        </w:rPr>
        <w:t>ﮚ ﮛ ﮜ ﮝ ﮞ ﮟ ﮠ ﮡ ﮢ ﮣ</w:t>
      </w:r>
      <w:r w:rsidRPr="007C267A">
        <w:rPr>
          <w:rFonts w:ascii="QCF_P245" w:hAnsi="QCF_P245" w:cs="DecoType Thuluth"/>
          <w:b/>
          <w:bCs/>
          <w:color w:val="008000"/>
          <w:sz w:val="18"/>
          <w:szCs w:val="18"/>
          <w:rtl/>
        </w:rPr>
        <w:t>}</w:t>
      </w:r>
      <w:r w:rsidRPr="007C267A">
        <w:rPr>
          <w:rFonts w:cs="AL-Hotham" w:hint="cs"/>
          <w:b/>
          <w:bCs/>
          <w:color w:val="008000"/>
          <w:sz w:val="18"/>
          <w:szCs w:val="18"/>
          <w:rtl/>
        </w:rPr>
        <w:t xml:space="preserve"> </w:t>
      </w:r>
      <w:r w:rsidRPr="007C267A">
        <w:rPr>
          <w:rFonts w:cs="AL-Hotham" w:hint="cs"/>
          <w:b/>
          <w:bCs/>
          <w:sz w:val="18"/>
          <w:szCs w:val="18"/>
          <w:rtl/>
        </w:rPr>
        <w:t>[يوسف: 82]</w:t>
      </w:r>
      <w:r w:rsidRPr="007C267A">
        <w:rPr>
          <w:rFonts w:cs="AL-Hotham" w:hint="cs"/>
          <w:b/>
          <w:bCs/>
          <w:sz w:val="18"/>
          <w:szCs w:val="18"/>
          <w:rtl/>
          <w:lang w:bidi="ar-EG"/>
        </w:rPr>
        <w:t xml:space="preserve">، فالمراد أهل القرية وأصحاب العير، فسُمِّي الحال باسم محله مجازًا مرسلًا، وفي العدول عن الحقيقة إلى المجاز، إشارة إلى ذيوع أمر السرقة واشتهارها </w:t>
      </w:r>
      <w:r w:rsidRPr="007C267A">
        <w:rPr>
          <w:rFonts w:cs="DecoType Thuluth" w:hint="cs"/>
          <w:b/>
          <w:bCs/>
          <w:color w:val="008000"/>
          <w:sz w:val="18"/>
          <w:szCs w:val="18"/>
          <w:rtl/>
        </w:rPr>
        <w:t>{</w:t>
      </w:r>
      <w:r w:rsidRPr="007C267A">
        <w:rPr>
          <w:rFonts w:ascii="QCF_P245" w:hAnsi="QCF_P245" w:cs="QCF_P245"/>
          <w:b/>
          <w:bCs/>
          <w:color w:val="008000"/>
          <w:sz w:val="18"/>
          <w:szCs w:val="18"/>
          <w:rtl/>
        </w:rPr>
        <w:t>ﮌ ﮍ ﮎ ﮏ ﮐ ﮑ ﮒ ﮓ ﮔ</w:t>
      </w:r>
      <w:r w:rsidRPr="007C267A">
        <w:rPr>
          <w:rFonts w:ascii="QCF_P245" w:hAnsi="QCF_P245" w:cs="DecoType Thuluth"/>
          <w:b/>
          <w:bCs/>
          <w:color w:val="008000"/>
          <w:sz w:val="18"/>
          <w:szCs w:val="18"/>
          <w:rtl/>
        </w:rPr>
        <w:t>}</w:t>
      </w:r>
      <w:r w:rsidRPr="007C267A">
        <w:rPr>
          <w:rFonts w:cs="AL-Hotham" w:hint="cs"/>
          <w:b/>
          <w:bCs/>
          <w:color w:val="008000"/>
          <w:sz w:val="18"/>
          <w:szCs w:val="18"/>
          <w:rtl/>
        </w:rPr>
        <w:t xml:space="preserve"> </w:t>
      </w:r>
      <w:r w:rsidRPr="007C267A">
        <w:rPr>
          <w:rFonts w:cs="AL-Hotham" w:hint="cs"/>
          <w:b/>
          <w:bCs/>
          <w:sz w:val="18"/>
          <w:szCs w:val="18"/>
          <w:rtl/>
        </w:rPr>
        <w:t xml:space="preserve">[يوسف: 81]، </w:t>
      </w:r>
      <w:r w:rsidRPr="007C267A">
        <w:rPr>
          <w:rFonts w:cs="AL-Hotham" w:hint="cs"/>
          <w:b/>
          <w:bCs/>
          <w:sz w:val="18"/>
          <w:szCs w:val="18"/>
          <w:rtl/>
          <w:lang w:bidi="ar-EG"/>
        </w:rPr>
        <w:t>إلى درجة أنه لو سألت القرية والعير، أي: الجمادات والحيوانات، لنطقت بذلك وأجابت به.</w:t>
      </w:r>
    </w:p>
    <w:p w:rsidR="007C267A" w:rsidRPr="007C267A" w:rsidRDefault="007C267A" w:rsidP="007C267A">
      <w:pPr>
        <w:spacing w:before="100" w:beforeAutospacing="1" w:after="100" w:afterAutospacing="1" w:line="240" w:lineRule="auto"/>
        <w:jc w:val="lowKashida"/>
        <w:rPr>
          <w:rFonts w:cs="AL-Hotham"/>
          <w:b/>
          <w:bCs/>
          <w:color w:val="000080"/>
          <w:sz w:val="18"/>
          <w:szCs w:val="18"/>
          <w:rtl/>
        </w:rPr>
      </w:pPr>
      <w:r w:rsidRPr="007C267A">
        <w:rPr>
          <w:rFonts w:cs="AL-Hotham" w:hint="cs"/>
          <w:b/>
          <w:bCs/>
          <w:color w:val="000080"/>
          <w:sz w:val="18"/>
          <w:szCs w:val="18"/>
          <w:rtl/>
          <w:lang w:bidi="ar-EG"/>
        </w:rPr>
        <w:t xml:space="preserve">مجاز مرسل، علاقته الحالية: </w:t>
      </w:r>
    </w:p>
    <w:p w:rsidR="007C267A" w:rsidRPr="007C267A" w:rsidRDefault="007C267A" w:rsidP="007C267A">
      <w:pPr>
        <w:spacing w:after="120" w:line="240" w:lineRule="auto"/>
        <w:jc w:val="lowKashida"/>
        <w:rPr>
          <w:rFonts w:cs="AL-Hotham"/>
          <w:b/>
          <w:bCs/>
          <w:sz w:val="18"/>
          <w:szCs w:val="18"/>
          <w:rtl/>
        </w:rPr>
      </w:pPr>
      <w:r w:rsidRPr="007C267A">
        <w:rPr>
          <w:rFonts w:cs="AL-Hotham" w:hint="cs"/>
          <w:b/>
          <w:bCs/>
          <w:sz w:val="18"/>
          <w:szCs w:val="18"/>
          <w:rtl/>
          <w:lang w:bidi="ar-EG"/>
        </w:rPr>
        <w:t xml:space="preserve">وهي أن يذكر اسم الحال ويراد المحل، كما في قوله تعالى: </w:t>
      </w:r>
      <w:r w:rsidRPr="007C267A">
        <w:rPr>
          <w:rFonts w:cs="DecoType Thuluth" w:hint="cs"/>
          <w:b/>
          <w:bCs/>
          <w:color w:val="008000"/>
          <w:sz w:val="18"/>
          <w:szCs w:val="18"/>
          <w:rtl/>
        </w:rPr>
        <w:t>{</w:t>
      </w:r>
      <w:r w:rsidRPr="007C267A">
        <w:rPr>
          <w:rFonts w:ascii="QCF_P063" w:hAnsi="QCF_P063" w:cs="QCF_P063"/>
          <w:b/>
          <w:bCs/>
          <w:color w:val="008000"/>
          <w:sz w:val="18"/>
          <w:szCs w:val="18"/>
          <w:rtl/>
        </w:rPr>
        <w:t>ﯪ ﯫ ﯬ ﯭ ﯮ ﯯ ﯰ ﯱ ﯲ ﯳ</w:t>
      </w:r>
      <w:r w:rsidRPr="007C267A">
        <w:rPr>
          <w:rFonts w:ascii="QCF_P063" w:hAnsi="QCF_P063" w:cs="DecoType Thuluth"/>
          <w:b/>
          <w:bCs/>
          <w:color w:val="008000"/>
          <w:sz w:val="18"/>
          <w:szCs w:val="18"/>
          <w:rtl/>
        </w:rPr>
        <w:t>}</w:t>
      </w:r>
      <w:r w:rsidRPr="007C267A">
        <w:rPr>
          <w:rFonts w:cs="AL-Hotham" w:hint="cs"/>
          <w:b/>
          <w:bCs/>
          <w:color w:val="008000"/>
          <w:sz w:val="18"/>
          <w:szCs w:val="18"/>
          <w:rtl/>
        </w:rPr>
        <w:t xml:space="preserve"> </w:t>
      </w:r>
      <w:r w:rsidRPr="007C267A">
        <w:rPr>
          <w:rFonts w:cs="AL-Hotham" w:hint="cs"/>
          <w:b/>
          <w:bCs/>
          <w:sz w:val="18"/>
          <w:szCs w:val="18"/>
          <w:rtl/>
        </w:rPr>
        <w:t>[آل عمران: 107]</w:t>
      </w:r>
      <w:r w:rsidRPr="007C267A">
        <w:rPr>
          <w:rFonts w:cs="AL-Hotham" w:hint="cs"/>
          <w:b/>
          <w:bCs/>
          <w:sz w:val="18"/>
          <w:szCs w:val="18"/>
          <w:rtl/>
          <w:lang w:bidi="ar-EG"/>
        </w:rPr>
        <w:t xml:space="preserve">، فالمراد برحمة الله جنته؛ لأن الرحمة حالَّة فيها من باب تسمية الشيء باسم ما يحل به، ومثله قوله: </w:t>
      </w:r>
      <w:r w:rsidRPr="007C267A">
        <w:rPr>
          <w:rFonts w:cs="DecoType Thuluth" w:hint="cs"/>
          <w:b/>
          <w:bCs/>
          <w:color w:val="008000"/>
          <w:sz w:val="18"/>
          <w:szCs w:val="18"/>
          <w:rtl/>
        </w:rPr>
        <w:t>{</w:t>
      </w:r>
      <w:r w:rsidRPr="007C267A">
        <w:rPr>
          <w:rFonts w:ascii="QCF_P154" w:hAnsi="QCF_P154" w:cs="QCF_P154"/>
          <w:b/>
          <w:bCs/>
          <w:color w:val="008000"/>
          <w:sz w:val="18"/>
          <w:szCs w:val="18"/>
          <w:rtl/>
        </w:rPr>
        <w:t>ﭒ ﭓ ﭔ ﭕ ﭖ ﭗ ﭘ</w:t>
      </w:r>
      <w:r w:rsidRPr="007C267A">
        <w:rPr>
          <w:rFonts w:ascii="QCF_P154" w:hAnsi="QCF_P154" w:cs="DecoType Thuluth"/>
          <w:b/>
          <w:bCs/>
          <w:color w:val="008000"/>
          <w:sz w:val="18"/>
          <w:szCs w:val="18"/>
          <w:rtl/>
        </w:rPr>
        <w:t>}</w:t>
      </w:r>
      <w:r w:rsidRPr="007C267A">
        <w:rPr>
          <w:rFonts w:cs="AL-Hotham" w:hint="cs"/>
          <w:b/>
          <w:bCs/>
          <w:color w:val="008000"/>
          <w:sz w:val="18"/>
          <w:szCs w:val="18"/>
          <w:rtl/>
        </w:rPr>
        <w:t xml:space="preserve"> </w:t>
      </w:r>
      <w:r w:rsidRPr="007C267A">
        <w:rPr>
          <w:rFonts w:cs="AL-Hotham" w:hint="cs"/>
          <w:b/>
          <w:bCs/>
          <w:sz w:val="18"/>
          <w:szCs w:val="18"/>
          <w:rtl/>
        </w:rPr>
        <w:t>[الأعراف: 31]</w:t>
      </w:r>
      <w:r w:rsidRPr="007C267A">
        <w:rPr>
          <w:rFonts w:cs="AL-Hotham" w:hint="cs"/>
          <w:b/>
          <w:bCs/>
          <w:sz w:val="18"/>
          <w:szCs w:val="18"/>
          <w:rtl/>
          <w:lang w:bidi="ar-EG"/>
        </w:rPr>
        <w:t>، فالمراد بالزينة: اللباس، وكل ما تحل به؛ لأن الزينة لا تؤخذ.</w:t>
      </w:r>
    </w:p>
    <w:p w:rsidR="007C267A" w:rsidRPr="007C267A" w:rsidRDefault="007C267A" w:rsidP="007C267A">
      <w:pPr>
        <w:spacing w:before="100" w:beforeAutospacing="1" w:after="100" w:afterAutospacing="1" w:line="240" w:lineRule="auto"/>
        <w:jc w:val="lowKashida"/>
        <w:rPr>
          <w:rFonts w:cs="AL-Hotham"/>
          <w:b/>
          <w:bCs/>
          <w:color w:val="000080"/>
          <w:sz w:val="18"/>
          <w:szCs w:val="18"/>
          <w:rtl/>
        </w:rPr>
      </w:pPr>
      <w:r w:rsidRPr="007C267A">
        <w:rPr>
          <w:rFonts w:cs="AL-Hotham" w:hint="cs"/>
          <w:b/>
          <w:bCs/>
          <w:color w:val="000080"/>
          <w:sz w:val="18"/>
          <w:szCs w:val="18"/>
          <w:rtl/>
          <w:lang w:bidi="ar-EG"/>
        </w:rPr>
        <w:t>مجاز مرسل، علاقته الآلية:</w:t>
      </w:r>
    </w:p>
    <w:p w:rsidR="007C267A" w:rsidRPr="007C267A" w:rsidRDefault="007C267A" w:rsidP="007C267A">
      <w:pPr>
        <w:spacing w:after="120" w:line="240" w:lineRule="auto"/>
        <w:jc w:val="lowKashida"/>
        <w:rPr>
          <w:rFonts w:cs="AL-Hotham"/>
          <w:b/>
          <w:bCs/>
          <w:sz w:val="18"/>
          <w:szCs w:val="18"/>
          <w:rtl/>
          <w:lang w:bidi="ar-EG"/>
        </w:rPr>
      </w:pPr>
      <w:r w:rsidRPr="007C267A">
        <w:rPr>
          <w:rFonts w:cs="AL-Hotham" w:hint="cs"/>
          <w:b/>
          <w:bCs/>
          <w:sz w:val="18"/>
          <w:szCs w:val="18"/>
          <w:rtl/>
          <w:lang w:bidi="ar-EG"/>
        </w:rPr>
        <w:t xml:space="preserve">وهو أن يعبر بالشيء باسم الآلة التي يحصل بها، كما في قول الله تعالى: </w:t>
      </w:r>
      <w:r w:rsidRPr="007C267A">
        <w:rPr>
          <w:rFonts w:cs="DecoType Thuluth" w:hint="cs"/>
          <w:b/>
          <w:bCs/>
          <w:color w:val="008000"/>
          <w:sz w:val="18"/>
          <w:szCs w:val="18"/>
          <w:rtl/>
        </w:rPr>
        <w:t>{</w:t>
      </w:r>
      <w:r w:rsidRPr="007C267A">
        <w:rPr>
          <w:rFonts w:ascii="QCF_P255" w:hAnsi="QCF_P255" w:cs="QCF_P255"/>
          <w:b/>
          <w:bCs/>
          <w:color w:val="008000"/>
          <w:sz w:val="18"/>
          <w:szCs w:val="18"/>
          <w:rtl/>
        </w:rPr>
        <w:t>ﮖ ﮗ ﮘ ﮙ ﮚ ﮛ ﮜ ﮝ ﮞ</w:t>
      </w:r>
      <w:r w:rsidRPr="007C267A">
        <w:rPr>
          <w:rFonts w:ascii="QCF_P255" w:hAnsi="QCF_P255" w:cs="DecoType Thuluth"/>
          <w:b/>
          <w:bCs/>
          <w:color w:val="008000"/>
          <w:sz w:val="18"/>
          <w:szCs w:val="18"/>
          <w:rtl/>
        </w:rPr>
        <w:t>}</w:t>
      </w:r>
      <w:r w:rsidRPr="007C267A">
        <w:rPr>
          <w:rFonts w:cs="AL-Hotham" w:hint="cs"/>
          <w:b/>
          <w:bCs/>
          <w:color w:val="008000"/>
          <w:sz w:val="18"/>
          <w:szCs w:val="18"/>
          <w:rtl/>
        </w:rPr>
        <w:t xml:space="preserve"> </w:t>
      </w:r>
      <w:r w:rsidRPr="007C267A">
        <w:rPr>
          <w:rFonts w:cs="AL-Hotham" w:hint="cs"/>
          <w:b/>
          <w:bCs/>
          <w:sz w:val="18"/>
          <w:szCs w:val="18"/>
          <w:rtl/>
        </w:rPr>
        <w:t>[إبراهيم: 4]</w:t>
      </w:r>
      <w:r w:rsidRPr="007C267A">
        <w:rPr>
          <w:rFonts w:cs="AL-Hotham" w:hint="cs"/>
          <w:b/>
          <w:bCs/>
          <w:sz w:val="18"/>
          <w:szCs w:val="18"/>
          <w:rtl/>
          <w:lang w:bidi="ar-EG"/>
        </w:rPr>
        <w:t xml:space="preserve">، والمراد إلا بلغة قومه، فذكر اللسان وأراد اللغة؛ لأنه آلة للتعبير عنها، ونحوه قوله: </w:t>
      </w:r>
      <w:r w:rsidRPr="007C267A">
        <w:rPr>
          <w:rFonts w:cs="DecoType Thuluth" w:hint="cs"/>
          <w:b/>
          <w:bCs/>
          <w:color w:val="008000"/>
          <w:sz w:val="18"/>
          <w:szCs w:val="18"/>
          <w:rtl/>
        </w:rPr>
        <w:t>{</w:t>
      </w:r>
      <w:r w:rsidRPr="007C267A">
        <w:rPr>
          <w:rFonts w:ascii="QCF_P371" w:hAnsi="QCF_P371" w:cs="QCF_P371"/>
          <w:b/>
          <w:bCs/>
          <w:color w:val="008000"/>
          <w:sz w:val="18"/>
          <w:szCs w:val="18"/>
          <w:rtl/>
        </w:rPr>
        <w:t>ﭑ ﭒ ﭓ ﭔ ﭕ ﭖ</w:t>
      </w:r>
      <w:r w:rsidRPr="007C267A">
        <w:rPr>
          <w:rFonts w:ascii="QCF_P371" w:hAnsi="QCF_P371" w:cs="DecoType Thuluth"/>
          <w:b/>
          <w:bCs/>
          <w:color w:val="008000"/>
          <w:sz w:val="18"/>
          <w:szCs w:val="18"/>
          <w:rtl/>
        </w:rPr>
        <w:t>}</w:t>
      </w:r>
      <w:r w:rsidRPr="007C267A">
        <w:rPr>
          <w:rFonts w:cs="AL-Hotham" w:hint="cs"/>
          <w:b/>
          <w:bCs/>
          <w:color w:val="008000"/>
          <w:sz w:val="18"/>
          <w:szCs w:val="18"/>
          <w:rtl/>
        </w:rPr>
        <w:t xml:space="preserve"> </w:t>
      </w:r>
      <w:r w:rsidRPr="007C267A">
        <w:rPr>
          <w:rFonts w:cs="AL-Hotham" w:hint="cs"/>
          <w:b/>
          <w:bCs/>
          <w:sz w:val="18"/>
          <w:szCs w:val="18"/>
          <w:rtl/>
        </w:rPr>
        <w:t>[الشعراء: 84]،</w:t>
      </w:r>
      <w:r w:rsidRPr="007C267A">
        <w:rPr>
          <w:rFonts w:cs="AL-Hotham" w:hint="cs"/>
          <w:b/>
          <w:bCs/>
          <w:sz w:val="18"/>
          <w:szCs w:val="18"/>
          <w:rtl/>
          <w:lang w:bidi="ar-EG"/>
        </w:rPr>
        <w:t xml:space="preserve"> فالمراد: اجعل لي ذكرًا حسنًا يدوم بعد مماتي، فسمى الذكر لسانًا؛ لأن اللسان هو الآلة التي يوجد بها الذكر والثناء. </w:t>
      </w:r>
    </w:p>
    <w:p w:rsidR="007C267A" w:rsidRPr="007C267A" w:rsidRDefault="007C267A" w:rsidP="007C267A">
      <w:pPr>
        <w:spacing w:before="100" w:beforeAutospacing="1" w:after="100" w:afterAutospacing="1" w:line="240" w:lineRule="auto"/>
        <w:jc w:val="lowKashida"/>
        <w:rPr>
          <w:rFonts w:cs="AL-Hotham"/>
          <w:b/>
          <w:bCs/>
          <w:color w:val="000080"/>
          <w:sz w:val="18"/>
          <w:szCs w:val="18"/>
          <w:rtl/>
        </w:rPr>
      </w:pPr>
      <w:r w:rsidRPr="007C267A">
        <w:rPr>
          <w:rFonts w:cs="AL-Hotham" w:hint="cs"/>
          <w:b/>
          <w:bCs/>
          <w:color w:val="000080"/>
          <w:sz w:val="18"/>
          <w:szCs w:val="18"/>
          <w:rtl/>
          <w:lang w:bidi="ar-EG"/>
        </w:rPr>
        <w:t>مجاز مرسل، علاقته، المجاورة:</w:t>
      </w:r>
      <w:r w:rsidRPr="007C267A">
        <w:rPr>
          <w:rFonts w:cs="AL-Hotham" w:hint="cs"/>
          <w:b/>
          <w:bCs/>
          <w:color w:val="000080"/>
          <w:sz w:val="18"/>
          <w:szCs w:val="18"/>
          <w:rtl/>
        </w:rPr>
        <w:t xml:space="preserve"> </w:t>
      </w:r>
    </w:p>
    <w:p w:rsidR="007C267A" w:rsidRPr="007C267A" w:rsidRDefault="007C267A" w:rsidP="007C267A">
      <w:pPr>
        <w:spacing w:after="120" w:line="240" w:lineRule="auto"/>
        <w:jc w:val="lowKashida"/>
        <w:rPr>
          <w:rFonts w:cs="AL-Hotham"/>
          <w:b/>
          <w:bCs/>
          <w:sz w:val="18"/>
          <w:szCs w:val="18"/>
          <w:rtl/>
        </w:rPr>
      </w:pPr>
      <w:r w:rsidRPr="007C267A">
        <w:rPr>
          <w:rFonts w:cs="AL-Hotham" w:hint="cs"/>
          <w:b/>
          <w:bCs/>
          <w:sz w:val="18"/>
          <w:szCs w:val="18"/>
          <w:rtl/>
          <w:lang w:bidi="ar-EG"/>
        </w:rPr>
        <w:lastRenderedPageBreak/>
        <w:t>وهو أن يُعبر عن الشيء باسم ما يجاوره، وذلك إذا كثر اقتران الاسمين ومجاورتهما، كثرة تسوِّغ استعمال أحدهما مكان الآخر، كما في قولنا: خلت الراوية من الماء، وشربنا من الراوية، والراوية: اسم للبعير الذي يُحمل عليه الماء، ونحوه قول عنترة</w:t>
      </w:r>
      <w:r w:rsidRPr="007C267A">
        <w:rPr>
          <w:rFonts w:cs="AL-Hotham" w:hint="cs"/>
          <w:b/>
          <w:bCs/>
          <w:sz w:val="18"/>
          <w:szCs w:val="18"/>
          <w:rtl/>
        </w:rPr>
        <w:t>:</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23"/>
        <w:gridCol w:w="564"/>
        <w:gridCol w:w="2107"/>
      </w:tblGrid>
      <w:tr w:rsidR="007C267A" w:rsidRPr="007C267A" w:rsidTr="00145F11">
        <w:trPr>
          <w:trHeight w:hRule="exact" w:val="510"/>
          <w:jc w:val="center"/>
        </w:trPr>
        <w:tc>
          <w:tcPr>
            <w:tcW w:w="2909" w:type="dxa"/>
            <w:shd w:val="clear" w:color="auto" w:fill="auto"/>
            <w:vAlign w:val="center"/>
          </w:tcPr>
          <w:p w:rsidR="007C267A" w:rsidRPr="007C267A" w:rsidRDefault="007C267A" w:rsidP="007C267A">
            <w:pPr>
              <w:spacing w:after="120"/>
              <w:jc w:val="both"/>
              <w:rPr>
                <w:rFonts w:cs="AGA Furat Regular"/>
                <w:b/>
                <w:bCs/>
                <w:sz w:val="18"/>
                <w:szCs w:val="18"/>
                <w:rtl/>
              </w:rPr>
            </w:pPr>
            <w:r w:rsidRPr="007C267A">
              <w:rPr>
                <w:rFonts w:cs="AGA Furat Regular" w:hint="eastAsia"/>
                <w:b/>
                <w:bCs/>
                <w:sz w:val="18"/>
                <w:szCs w:val="18"/>
                <w:rtl/>
                <w:lang w:bidi="ar-EG"/>
              </w:rPr>
              <w:t>فشككتُ</w:t>
            </w:r>
            <w:r w:rsidRPr="007C267A">
              <w:rPr>
                <w:rFonts w:cs="AGA Furat Regular"/>
                <w:b/>
                <w:bCs/>
                <w:sz w:val="18"/>
                <w:szCs w:val="18"/>
                <w:rtl/>
                <w:lang w:bidi="ar-EG"/>
              </w:rPr>
              <w:t xml:space="preserve"> </w:t>
            </w:r>
            <w:r w:rsidRPr="007C267A">
              <w:rPr>
                <w:rFonts w:cs="AGA Furat Regular" w:hint="eastAsia"/>
                <w:b/>
                <w:bCs/>
                <w:sz w:val="18"/>
                <w:szCs w:val="18"/>
                <w:rtl/>
                <w:lang w:bidi="ar-EG"/>
              </w:rPr>
              <w:t>بالرُّمحِ</w:t>
            </w:r>
            <w:r w:rsidRPr="007C267A">
              <w:rPr>
                <w:rFonts w:cs="AGA Furat Regular"/>
                <w:b/>
                <w:bCs/>
                <w:sz w:val="18"/>
                <w:szCs w:val="18"/>
                <w:rtl/>
                <w:lang w:bidi="ar-EG"/>
              </w:rPr>
              <w:t xml:space="preserve"> </w:t>
            </w:r>
            <w:r w:rsidRPr="007C267A">
              <w:rPr>
                <w:rFonts w:cs="AGA Furat Regular" w:hint="eastAsia"/>
                <w:b/>
                <w:bCs/>
                <w:sz w:val="18"/>
                <w:szCs w:val="18"/>
                <w:rtl/>
                <w:lang w:bidi="ar-EG"/>
              </w:rPr>
              <w:t>الأصمِّ</w:t>
            </w:r>
            <w:r w:rsidRPr="007C267A">
              <w:rPr>
                <w:rFonts w:cs="AGA Furat Regular"/>
                <w:b/>
                <w:bCs/>
                <w:sz w:val="18"/>
                <w:szCs w:val="18"/>
                <w:rtl/>
                <w:lang w:bidi="ar-EG"/>
              </w:rPr>
              <w:t xml:space="preserve"> </w:t>
            </w:r>
            <w:r w:rsidRPr="007C267A">
              <w:rPr>
                <w:rFonts w:cs="AGA Furat Regular" w:hint="eastAsia"/>
                <w:b/>
                <w:bCs/>
                <w:sz w:val="18"/>
                <w:szCs w:val="18"/>
                <w:rtl/>
                <w:lang w:bidi="ar-EG"/>
              </w:rPr>
              <w:t>ثيابهُ</w:t>
            </w:r>
            <w:r w:rsidRPr="007C267A">
              <w:rPr>
                <w:rFonts w:cs="AGA Furat Regular"/>
                <w:b/>
                <w:bCs/>
                <w:sz w:val="18"/>
                <w:szCs w:val="18"/>
                <w:rtl/>
              </w:rPr>
              <w:br/>
            </w:r>
          </w:p>
        </w:tc>
        <w:tc>
          <w:tcPr>
            <w:tcW w:w="709" w:type="dxa"/>
            <w:shd w:val="clear" w:color="auto" w:fill="auto"/>
            <w:vAlign w:val="center"/>
          </w:tcPr>
          <w:p w:rsidR="007C267A" w:rsidRPr="007C267A" w:rsidRDefault="007C267A" w:rsidP="007C267A">
            <w:pPr>
              <w:spacing w:after="120"/>
              <w:jc w:val="center"/>
              <w:rPr>
                <w:rFonts w:cs="AL-Hotham"/>
                <w:b/>
                <w:bCs/>
                <w:sz w:val="18"/>
                <w:szCs w:val="18"/>
                <w:rtl/>
              </w:rPr>
            </w:pPr>
            <w:r w:rsidRPr="007C267A">
              <w:rPr>
                <w:rFonts w:cs="AL-Hotham" w:hint="cs"/>
                <w:b/>
                <w:bCs/>
                <w:sz w:val="18"/>
                <w:szCs w:val="18"/>
                <w:rtl/>
              </w:rPr>
              <w:t>*</w:t>
            </w:r>
          </w:p>
        </w:tc>
        <w:tc>
          <w:tcPr>
            <w:tcW w:w="2909" w:type="dxa"/>
            <w:shd w:val="clear" w:color="auto" w:fill="auto"/>
            <w:vAlign w:val="center"/>
          </w:tcPr>
          <w:p w:rsidR="007C267A" w:rsidRPr="007C267A" w:rsidRDefault="007C267A" w:rsidP="007C267A">
            <w:pPr>
              <w:spacing w:after="120"/>
              <w:jc w:val="both"/>
              <w:rPr>
                <w:rFonts w:cs="AGA Furat Regular"/>
                <w:b/>
                <w:bCs/>
                <w:sz w:val="18"/>
                <w:szCs w:val="18"/>
                <w:rtl/>
              </w:rPr>
            </w:pPr>
            <w:r w:rsidRPr="007C267A">
              <w:rPr>
                <w:rFonts w:cs="AGA Furat Regular" w:hint="eastAsia"/>
                <w:b/>
                <w:bCs/>
                <w:sz w:val="18"/>
                <w:szCs w:val="18"/>
                <w:rtl/>
                <w:lang w:bidi="ar-EG"/>
              </w:rPr>
              <w:t>ليسَ</w:t>
            </w:r>
            <w:r w:rsidRPr="007C267A">
              <w:rPr>
                <w:rFonts w:cs="AGA Furat Regular"/>
                <w:b/>
                <w:bCs/>
                <w:sz w:val="18"/>
                <w:szCs w:val="18"/>
                <w:rtl/>
                <w:lang w:bidi="ar-EG"/>
              </w:rPr>
              <w:t xml:space="preserve"> </w:t>
            </w:r>
            <w:r w:rsidRPr="007C267A">
              <w:rPr>
                <w:rFonts w:cs="AGA Furat Regular" w:hint="eastAsia"/>
                <w:b/>
                <w:bCs/>
                <w:sz w:val="18"/>
                <w:szCs w:val="18"/>
                <w:rtl/>
                <w:lang w:bidi="ar-EG"/>
              </w:rPr>
              <w:t>الكريمُ</w:t>
            </w:r>
            <w:r w:rsidRPr="007C267A">
              <w:rPr>
                <w:rFonts w:cs="AGA Furat Regular"/>
                <w:b/>
                <w:bCs/>
                <w:sz w:val="18"/>
                <w:szCs w:val="18"/>
                <w:rtl/>
                <w:lang w:bidi="ar-EG"/>
              </w:rPr>
              <w:t xml:space="preserve"> </w:t>
            </w:r>
            <w:r w:rsidRPr="007C267A">
              <w:rPr>
                <w:rFonts w:cs="AGA Furat Regular" w:hint="eastAsia"/>
                <w:b/>
                <w:bCs/>
                <w:sz w:val="18"/>
                <w:szCs w:val="18"/>
                <w:rtl/>
                <w:lang w:bidi="ar-EG"/>
              </w:rPr>
              <w:t>على</w:t>
            </w:r>
            <w:r w:rsidRPr="007C267A">
              <w:rPr>
                <w:rFonts w:cs="AGA Furat Regular"/>
                <w:b/>
                <w:bCs/>
                <w:sz w:val="18"/>
                <w:szCs w:val="18"/>
                <w:rtl/>
                <w:lang w:bidi="ar-EG"/>
              </w:rPr>
              <w:t xml:space="preserve"> </w:t>
            </w:r>
            <w:r w:rsidRPr="007C267A">
              <w:rPr>
                <w:rFonts w:cs="AGA Furat Regular" w:hint="eastAsia"/>
                <w:b/>
                <w:bCs/>
                <w:sz w:val="18"/>
                <w:szCs w:val="18"/>
                <w:rtl/>
                <w:lang w:bidi="ar-EG"/>
              </w:rPr>
              <w:t>القنا</w:t>
            </w:r>
            <w:r w:rsidRPr="007C267A">
              <w:rPr>
                <w:rFonts w:cs="AGA Furat Regular"/>
                <w:b/>
                <w:bCs/>
                <w:sz w:val="18"/>
                <w:szCs w:val="18"/>
                <w:rtl/>
                <w:lang w:bidi="ar-EG"/>
              </w:rPr>
              <w:t xml:space="preserve"> </w:t>
            </w:r>
            <w:r w:rsidRPr="007C267A">
              <w:rPr>
                <w:rFonts w:cs="AGA Furat Regular" w:hint="eastAsia"/>
                <w:b/>
                <w:bCs/>
                <w:sz w:val="18"/>
                <w:szCs w:val="18"/>
                <w:rtl/>
                <w:lang w:bidi="ar-EG"/>
              </w:rPr>
              <w:t>بمحرَّمِ</w:t>
            </w:r>
            <w:r w:rsidRPr="007C267A">
              <w:rPr>
                <w:rFonts w:cs="AGA Furat Regular"/>
                <w:b/>
                <w:bCs/>
                <w:sz w:val="18"/>
                <w:szCs w:val="18"/>
                <w:rtl/>
                <w:lang w:bidi="ar-EG"/>
              </w:rPr>
              <w:br/>
            </w:r>
          </w:p>
        </w:tc>
      </w:tr>
    </w:tbl>
    <w:p w:rsidR="007C267A" w:rsidRPr="007C267A" w:rsidRDefault="007C267A" w:rsidP="007C267A">
      <w:pPr>
        <w:spacing w:after="120" w:line="240" w:lineRule="auto"/>
        <w:jc w:val="lowKashida"/>
        <w:rPr>
          <w:rFonts w:cs="AL-Hotham"/>
          <w:b/>
          <w:bCs/>
          <w:sz w:val="18"/>
          <w:szCs w:val="18"/>
          <w:rtl/>
        </w:rPr>
      </w:pPr>
      <w:r w:rsidRPr="007C267A">
        <w:rPr>
          <w:rFonts w:cs="AL-Hotham" w:hint="cs"/>
          <w:b/>
          <w:bCs/>
          <w:sz w:val="18"/>
          <w:szCs w:val="18"/>
          <w:rtl/>
          <w:lang w:bidi="ar-EG"/>
        </w:rPr>
        <w:t>وهناك علاقات أخرى يضيق المقام بذكرها؛ لذا اكتفينا بما ذكرنا مما اشتهر من علاقات المجاز المرسل</w:t>
      </w:r>
      <w:r w:rsidRPr="007C267A">
        <w:rPr>
          <w:rFonts w:cs="AL-Hotham" w:hint="cs"/>
          <w:b/>
          <w:bCs/>
          <w:sz w:val="18"/>
          <w:szCs w:val="18"/>
          <w:rtl/>
        </w:rPr>
        <w:t>.</w:t>
      </w:r>
    </w:p>
    <w:p w:rsidR="007C267A" w:rsidRPr="007C267A" w:rsidRDefault="007C267A" w:rsidP="007C267A">
      <w:pPr>
        <w:widowControl w:val="0"/>
        <w:autoSpaceDE w:val="0"/>
        <w:autoSpaceDN w:val="0"/>
        <w:adjustRightInd w:val="0"/>
        <w:spacing w:after="120" w:line="240" w:lineRule="auto"/>
        <w:jc w:val="center"/>
        <w:rPr>
          <w:rFonts w:asciiTheme="majorBidi" w:hAnsiTheme="majorBidi" w:cs="AL-Hotham"/>
          <w:b/>
          <w:bCs/>
          <w:sz w:val="18"/>
          <w:szCs w:val="18"/>
          <w:rtl/>
          <w:lang w:bidi="ar-IQ"/>
        </w:rPr>
      </w:pPr>
      <w:r w:rsidRPr="007C267A">
        <w:rPr>
          <w:rFonts w:asciiTheme="majorBidi" w:hAnsiTheme="majorBidi" w:cs="AL-Hotham" w:hint="cs"/>
          <w:b/>
          <w:bCs/>
          <w:sz w:val="18"/>
          <w:szCs w:val="18"/>
          <w:rtl/>
          <w:lang w:bidi="ar-IQ"/>
        </w:rPr>
        <w:t>المراجع والمصادر</w:t>
      </w:r>
    </w:p>
    <w:p w:rsidR="007C267A" w:rsidRPr="007C267A" w:rsidRDefault="007C267A" w:rsidP="007C267A">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7C267A">
        <w:rPr>
          <w:rFonts w:asciiTheme="majorBidi" w:hAnsiTheme="majorBidi" w:cs="AL-Hotham"/>
          <w:b/>
          <w:bCs/>
          <w:sz w:val="18"/>
          <w:szCs w:val="18"/>
          <w:rtl/>
          <w:lang w:bidi="ar-IQ"/>
        </w:rPr>
        <w:t>القزويني ، زكريا بن محمد القزويني تحقيق: محمد السعدي فرهود ، (الإيضاح في علوم البلاغة)  ، طبعة رقم1، سنة النشر: 2001 م</w:t>
      </w:r>
    </w:p>
    <w:p w:rsidR="007C267A" w:rsidRPr="007C267A" w:rsidRDefault="007C267A" w:rsidP="007C267A">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7C267A">
        <w:rPr>
          <w:rFonts w:asciiTheme="majorBidi" w:hAnsiTheme="majorBidi" w:cs="AL-Hotham"/>
          <w:b/>
          <w:bCs/>
          <w:sz w:val="18"/>
          <w:szCs w:val="18"/>
          <w:rtl/>
          <w:lang w:bidi="ar-IQ"/>
        </w:rPr>
        <w:t xml:space="preserve">الجرجاني، عبد القاهر الجرجاني، قرأه وعلق عليه محمود محمد شاكر،  (دلائل الاعجاز)  ، ط5، مكتبة الخانجي، 2004م.  </w:t>
      </w:r>
    </w:p>
    <w:p w:rsidR="007C267A" w:rsidRPr="007C267A" w:rsidRDefault="007C267A" w:rsidP="007C267A">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7C267A">
        <w:rPr>
          <w:rFonts w:asciiTheme="majorBidi" w:hAnsiTheme="majorBidi" w:cs="AL-Hotham"/>
          <w:b/>
          <w:bCs/>
          <w:sz w:val="18"/>
          <w:szCs w:val="18"/>
          <w:rtl/>
          <w:lang w:bidi="ar-IQ"/>
        </w:rPr>
        <w:t>أبو موسى، د. محمد محمد أبو موسى،   (دلالات التراكيب دراسة بلاغية) ، القاهرة، مكتبة وهبة للطباعة والنشر والتوزيع، 1987م</w:t>
      </w:r>
    </w:p>
    <w:p w:rsidR="007C267A" w:rsidRPr="007C267A" w:rsidRDefault="007C267A" w:rsidP="007C267A">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7C267A">
        <w:rPr>
          <w:rFonts w:asciiTheme="majorBidi" w:hAnsiTheme="majorBidi" w:cs="AL-Hotham"/>
          <w:b/>
          <w:bCs/>
          <w:sz w:val="18"/>
          <w:szCs w:val="18"/>
          <w:rtl/>
          <w:lang w:bidi="ar-IQ"/>
        </w:rPr>
        <w:t>المراغي، أحمد مصطفى المراغي،  (تاريخ علوم البلاغة و التعريف برجالها) ، القاهرة، مكتبة و مطبعة مصطفى البابي، ط1، 1950م</w:t>
      </w:r>
    </w:p>
    <w:p w:rsidR="007C267A" w:rsidRPr="007C267A" w:rsidRDefault="007C267A" w:rsidP="007C267A">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7C267A">
        <w:rPr>
          <w:rFonts w:asciiTheme="majorBidi" w:hAnsiTheme="majorBidi" w:cs="AL-Hotham"/>
          <w:b/>
          <w:bCs/>
          <w:sz w:val="18"/>
          <w:szCs w:val="18"/>
          <w:rtl/>
          <w:lang w:bidi="ar-IQ"/>
        </w:rPr>
        <w:lastRenderedPageBreak/>
        <w:t xml:space="preserve">فيود ، د. بسيوني عبد الفتاح فيود ، (علم البيان: دراسة تحليلية لمسائل البيان) ، القاهرة، مؤسسة المختار ، دار المعالم الثقافية، الإحساء ، ط 2،  1998 م </w:t>
      </w:r>
    </w:p>
    <w:p w:rsidR="007C267A" w:rsidRPr="007C267A" w:rsidRDefault="007C267A" w:rsidP="007C267A">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7C267A">
        <w:rPr>
          <w:rFonts w:asciiTheme="majorBidi" w:hAnsiTheme="majorBidi" w:cs="AL-Hotham"/>
          <w:b/>
          <w:bCs/>
          <w:sz w:val="18"/>
          <w:szCs w:val="18"/>
          <w:rtl/>
          <w:lang w:bidi="ar-IQ"/>
        </w:rPr>
        <w:t>الخوارزمي ، الشيخ يوسف بن أبي بكر بن محمد بن علي الخوارزمي الملقب بسراج الدين</w:t>
      </w:r>
      <w:r w:rsidRPr="007C267A">
        <w:rPr>
          <w:rFonts w:asciiTheme="majorBidi" w:hAnsiTheme="majorBidi" w:cs="AL-Hotham"/>
          <w:b/>
          <w:bCs/>
          <w:sz w:val="18"/>
          <w:szCs w:val="18"/>
          <w:lang w:bidi="ar-IQ"/>
        </w:rPr>
        <w:t xml:space="preserve"> </w:t>
      </w:r>
      <w:r w:rsidRPr="007C267A">
        <w:rPr>
          <w:rFonts w:asciiTheme="majorBidi" w:hAnsiTheme="majorBidi" w:cs="AL-Hotham"/>
          <w:b/>
          <w:bCs/>
          <w:sz w:val="18"/>
          <w:szCs w:val="18"/>
          <w:rtl/>
          <w:lang w:bidi="ar-IQ"/>
        </w:rPr>
        <w:t xml:space="preserve">السكاكي، (مفتاح العلوم)   ، لبنان، مكتبة المقهى، نشر دار الكتب العلمية، الطبعة الثانية ، 1987م </w:t>
      </w:r>
    </w:p>
    <w:p w:rsidR="007C267A" w:rsidRPr="007C267A" w:rsidRDefault="007C267A" w:rsidP="007C267A">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7C267A">
        <w:rPr>
          <w:rFonts w:asciiTheme="majorBidi" w:hAnsiTheme="majorBidi" w:cs="AL-Hotham"/>
          <w:b/>
          <w:bCs/>
          <w:sz w:val="18"/>
          <w:szCs w:val="18"/>
          <w:rtl/>
          <w:lang w:bidi="ar-IQ"/>
        </w:rPr>
        <w:t>الشاطئ، عائشة بنت الشاطئ،  (التفسير البياني) ، مكتبة المجلس، الطبعة الأولى، 1962م</w:t>
      </w:r>
    </w:p>
    <w:p w:rsidR="007C267A" w:rsidRPr="007C267A" w:rsidRDefault="007C267A" w:rsidP="007C267A">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7C267A">
        <w:rPr>
          <w:rFonts w:asciiTheme="majorBidi" w:hAnsiTheme="majorBidi" w:cs="AL-Hotham"/>
          <w:b/>
          <w:bCs/>
          <w:sz w:val="18"/>
          <w:szCs w:val="18"/>
          <w:rtl/>
          <w:lang w:bidi="ar-IQ"/>
        </w:rPr>
        <w:t>فيود، د. بسيوني عبد الفتاح فيود،  (علم البديع: دراسة تاريخية وفنية لأصول البلاغة ومسائل البديع) ،القاهرة، مؤسسة المختار، 2004</w:t>
      </w:r>
    </w:p>
    <w:p w:rsidR="007C267A" w:rsidRPr="007C267A" w:rsidRDefault="007C267A" w:rsidP="007C267A">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lang w:bidi="ar-IQ"/>
        </w:rPr>
      </w:pPr>
      <w:r w:rsidRPr="007C267A">
        <w:rPr>
          <w:rFonts w:asciiTheme="majorBidi" w:hAnsiTheme="majorBidi" w:cs="AL-Hotham"/>
          <w:b/>
          <w:bCs/>
          <w:sz w:val="18"/>
          <w:szCs w:val="18"/>
          <w:rtl/>
          <w:lang w:bidi="ar-IQ"/>
        </w:rPr>
        <w:t>الصعيدي، عبد المتعال الصعيدي،  (البغية على  الإيضاح لتلخيص المفتاح في علوم البلاغة) ،مكتبة الآداب،  1999م</w:t>
      </w:r>
    </w:p>
    <w:p w:rsidR="007C267A" w:rsidRPr="007C267A" w:rsidRDefault="007C267A" w:rsidP="007C267A">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7C267A">
        <w:rPr>
          <w:rFonts w:asciiTheme="majorBidi" w:hAnsiTheme="majorBidi" w:cs="AL-Hotham"/>
          <w:b/>
          <w:bCs/>
          <w:sz w:val="18"/>
          <w:szCs w:val="18"/>
          <w:rtl/>
          <w:lang w:bidi="ar-IQ"/>
        </w:rPr>
        <w:t>شاهين، كامل السيد شاهين،  (اللباب في العروض و القافية) ،القاهرة، الهيئة العامة لشئون الأميرية، 1978م</w:t>
      </w:r>
    </w:p>
    <w:p w:rsidR="007C267A" w:rsidRPr="007C267A" w:rsidRDefault="007C267A" w:rsidP="007C267A">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7C267A">
        <w:rPr>
          <w:rFonts w:asciiTheme="majorBidi" w:hAnsiTheme="majorBidi" w:cs="AL-Hotham"/>
          <w:b/>
          <w:bCs/>
          <w:sz w:val="18"/>
          <w:szCs w:val="18"/>
          <w:rtl/>
          <w:lang w:bidi="ar-IQ"/>
        </w:rPr>
        <w:t>القيرواني، ابن رشيق القيرواني،  (العمدة في محاسن الشعر وآدابه) ،الناشر: دار الكتب العلمية، 2001م</w:t>
      </w:r>
    </w:p>
    <w:p w:rsidR="007C267A" w:rsidRPr="007C267A" w:rsidRDefault="007C267A" w:rsidP="007C267A">
      <w:pPr>
        <w:widowControl w:val="0"/>
        <w:numPr>
          <w:ilvl w:val="0"/>
          <w:numId w:val="2"/>
        </w:numPr>
        <w:autoSpaceDE w:val="0"/>
        <w:autoSpaceDN w:val="0"/>
        <w:adjustRightInd w:val="0"/>
        <w:spacing w:after="120" w:line="240" w:lineRule="auto"/>
        <w:jc w:val="both"/>
        <w:rPr>
          <w:rFonts w:asciiTheme="majorBidi" w:hAnsiTheme="majorBidi" w:cs="AL-Hotham"/>
          <w:b/>
          <w:bCs/>
          <w:sz w:val="18"/>
          <w:szCs w:val="18"/>
          <w:rtl/>
          <w:lang w:bidi="ar-IQ"/>
        </w:rPr>
      </w:pPr>
      <w:r w:rsidRPr="007C267A">
        <w:rPr>
          <w:rFonts w:asciiTheme="majorBidi" w:hAnsiTheme="majorBidi" w:cs="AL-Hotham"/>
          <w:b/>
          <w:bCs/>
          <w:sz w:val="18"/>
          <w:szCs w:val="18"/>
          <w:rtl/>
          <w:lang w:bidi="ar-IQ"/>
        </w:rPr>
        <w:t>أبو موسى، د. محمد محمد أبو موسى،  (التصوير البياني) ،القاهرة، مكتبة وهبة للطباعة والنشر والتوزيع، 1997م</w:t>
      </w:r>
    </w:p>
    <w:p w:rsidR="007C267A" w:rsidRDefault="007C267A" w:rsidP="007C267A">
      <w:pPr>
        <w:pStyle w:val="a3"/>
        <w:bidi/>
        <w:spacing w:before="0" w:beforeAutospacing="0" w:after="120" w:afterAutospacing="0" w:line="500" w:lineRule="exact"/>
        <w:jc w:val="lowKashida"/>
        <w:rPr>
          <w:rFonts w:asciiTheme="majorBidi" w:hAnsiTheme="majorBidi" w:cs="AL-Hotham"/>
          <w:sz w:val="32"/>
          <w:szCs w:val="32"/>
          <w:rtl/>
          <w:lang w:bidi="ar-IQ"/>
        </w:rPr>
        <w:sectPr w:rsidR="007C267A" w:rsidSect="007C267A">
          <w:type w:val="continuous"/>
          <w:pgSz w:w="11906" w:h="16838"/>
          <w:pgMar w:top="964" w:right="1021" w:bottom="964" w:left="1021" w:header="709" w:footer="709" w:gutter="0"/>
          <w:cols w:num="2" w:space="708"/>
          <w:bidi/>
          <w:rtlGutter/>
          <w:docGrid w:linePitch="360"/>
        </w:sectPr>
      </w:pPr>
    </w:p>
    <w:p w:rsidR="007C267A" w:rsidRDefault="007C267A" w:rsidP="007C267A">
      <w:pPr>
        <w:pStyle w:val="a3"/>
        <w:bidi/>
        <w:spacing w:before="0" w:beforeAutospacing="0" w:after="120" w:afterAutospacing="0" w:line="500" w:lineRule="exact"/>
        <w:jc w:val="lowKashida"/>
        <w:rPr>
          <w:rFonts w:asciiTheme="majorBidi" w:hAnsiTheme="majorBidi" w:cs="AL-Hotham"/>
          <w:sz w:val="32"/>
          <w:szCs w:val="32"/>
          <w:rtl/>
          <w:lang w:bidi="ar-IQ"/>
        </w:rPr>
      </w:pPr>
    </w:p>
    <w:p w:rsidR="007C267A" w:rsidRPr="00E87483" w:rsidRDefault="007C267A" w:rsidP="007C267A">
      <w:pPr>
        <w:spacing w:after="120" w:line="520" w:lineRule="exact"/>
        <w:jc w:val="lowKashida"/>
        <w:rPr>
          <w:rFonts w:asciiTheme="majorBidi" w:hAnsiTheme="majorBidi" w:cs="AL-Hotham"/>
          <w:sz w:val="32"/>
          <w:szCs w:val="32"/>
          <w:rtl/>
        </w:rPr>
      </w:pPr>
    </w:p>
    <w:p w:rsidR="007C267A" w:rsidRPr="00E87483" w:rsidRDefault="007C267A" w:rsidP="007C267A">
      <w:pPr>
        <w:spacing w:after="120" w:line="520" w:lineRule="exact"/>
        <w:jc w:val="lowKashida"/>
        <w:rPr>
          <w:rFonts w:asciiTheme="majorBidi" w:hAnsiTheme="majorBidi" w:cs="AL-Hotham"/>
          <w:sz w:val="32"/>
          <w:szCs w:val="32"/>
          <w:rtl/>
        </w:rPr>
      </w:pPr>
    </w:p>
    <w:p w:rsidR="007C267A" w:rsidRPr="007C267A" w:rsidRDefault="007C267A" w:rsidP="007C267A">
      <w:pPr>
        <w:spacing w:line="240" w:lineRule="auto"/>
        <w:rPr>
          <w:rFonts w:cs="AL-Hotham"/>
          <w:i/>
          <w:iCs/>
          <w:sz w:val="48"/>
          <w:szCs w:val="48"/>
          <w:lang w:bidi="ar-EG"/>
        </w:rPr>
      </w:pPr>
    </w:p>
    <w:sectPr w:rsidR="007C267A" w:rsidRPr="007C267A" w:rsidSect="007C267A">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L-Hotham">
    <w:charset w:val="B2"/>
    <w:family w:val="auto"/>
    <w:pitch w:val="variable"/>
    <w:sig w:usb0="00002001" w:usb1="00000000" w:usb2="00000000" w:usb3="00000000" w:csb0="00000040" w:csb1="00000000"/>
  </w:font>
  <w:font w:name="DecoType Thuluth">
    <w:altName w:val="Times New Roman"/>
    <w:panose1 w:val="02010000000000000000"/>
    <w:charset w:val="B2"/>
    <w:family w:val="auto"/>
    <w:pitch w:val="variable"/>
    <w:sig w:usb0="00002001" w:usb1="80000000" w:usb2="00000008" w:usb3="00000000" w:csb0="00000040" w:csb1="00000000"/>
  </w:font>
  <w:font w:name="QCF_P004">
    <w:altName w:val="Times New Roman"/>
    <w:charset w:val="00"/>
    <w:family w:val="auto"/>
    <w:pitch w:val="variable"/>
    <w:sig w:usb0="00000000" w:usb1="90000000" w:usb2="00000008" w:usb3="00000000" w:csb0="80000041" w:csb1="00000000"/>
  </w:font>
  <w:font w:name="QCF_P570">
    <w:altName w:val="Times New Roman"/>
    <w:charset w:val="00"/>
    <w:family w:val="auto"/>
    <w:pitch w:val="variable"/>
    <w:sig w:usb0="00000000" w:usb1="90000000" w:usb2="00000008" w:usb3="00000000" w:csb0="80000041" w:csb1="00000000"/>
  </w:font>
  <w:font w:name="AGA Furat Regular">
    <w:charset w:val="B2"/>
    <w:family w:val="auto"/>
    <w:pitch w:val="variable"/>
    <w:sig w:usb0="00002001" w:usb1="00000000" w:usb2="00000000" w:usb3="00000000" w:csb0="00000040" w:csb1="00000000"/>
  </w:font>
  <w:font w:name="QCF_P077">
    <w:altName w:val="Times New Roman"/>
    <w:charset w:val="00"/>
    <w:family w:val="auto"/>
    <w:pitch w:val="variable"/>
    <w:sig w:usb0="00000000" w:usb1="90000000" w:usb2="00000008" w:usb3="00000000" w:csb0="80000041" w:csb1="00000000"/>
  </w:font>
  <w:font w:name="QCF_P316">
    <w:altName w:val="Times New Roman"/>
    <w:charset w:val="00"/>
    <w:family w:val="auto"/>
    <w:pitch w:val="variable"/>
    <w:sig w:usb0="00000000" w:usb1="90000000" w:usb2="00000008" w:usb3="00000000" w:csb0="80000041" w:csb1="00000000"/>
  </w:font>
  <w:font w:name="QCF_P239">
    <w:altName w:val="Times New Roman"/>
    <w:charset w:val="00"/>
    <w:family w:val="auto"/>
    <w:pitch w:val="variable"/>
    <w:sig w:usb0="00000000"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461">
    <w:altName w:val="Times New Roman"/>
    <w:charset w:val="00"/>
    <w:family w:val="auto"/>
    <w:pitch w:val="variable"/>
    <w:sig w:usb0="00000000" w:usb1="90000000" w:usb2="00000008" w:usb3="00000000" w:csb0="80000041" w:csb1="00000000"/>
  </w:font>
  <w:font w:name="QCF_P571">
    <w:altName w:val="Times New Roman"/>
    <w:charset w:val="00"/>
    <w:family w:val="auto"/>
    <w:pitch w:val="variable"/>
    <w:sig w:usb0="00000000" w:usb1="90000000" w:usb2="00000008" w:usb3="00000000" w:csb0="80000041" w:csb1="00000000"/>
  </w:font>
  <w:font w:name="Traditional Arabic">
    <w:panose1 w:val="02010000000000000000"/>
    <w:charset w:val="B2"/>
    <w:family w:val="auto"/>
    <w:pitch w:val="variable"/>
    <w:sig w:usb0="00002001" w:usb1="00000000" w:usb2="00000000" w:usb3="00000000" w:csb0="00000040" w:csb1="00000000"/>
  </w:font>
  <w:font w:name="QCF_P245">
    <w:altName w:val="Times New Roman"/>
    <w:charset w:val="00"/>
    <w:family w:val="auto"/>
    <w:pitch w:val="variable"/>
    <w:sig w:usb0="00000000" w:usb1="90000000" w:usb2="00000008" w:usb3="00000000" w:csb0="80000041" w:csb1="00000000"/>
  </w:font>
  <w:font w:name="QCF_P063">
    <w:altName w:val="Times New Roman"/>
    <w:charset w:val="00"/>
    <w:family w:val="auto"/>
    <w:pitch w:val="variable"/>
    <w:sig w:usb0="00000000" w:usb1="90000000" w:usb2="00000008" w:usb3="00000000" w:csb0="80000041" w:csb1="00000000"/>
  </w:font>
  <w:font w:name="QCF_P154">
    <w:altName w:val="Times New Roman"/>
    <w:charset w:val="00"/>
    <w:family w:val="auto"/>
    <w:pitch w:val="variable"/>
    <w:sig w:usb0="00000000" w:usb1="90000000" w:usb2="00000008" w:usb3="00000000" w:csb0="80000041" w:csb1="00000000"/>
  </w:font>
  <w:font w:name="QCF_P255">
    <w:altName w:val="Times New Roman"/>
    <w:charset w:val="00"/>
    <w:family w:val="auto"/>
    <w:pitch w:val="variable"/>
    <w:sig w:usb0="00000000" w:usb1="90000000" w:usb2="00000008" w:usb3="00000000" w:csb0="80000041" w:csb1="00000000"/>
  </w:font>
  <w:font w:name="QCF_P371">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63C10"/>
    <w:multiLevelType w:val="hybridMultilevel"/>
    <w:tmpl w:val="F864D54C"/>
    <w:lvl w:ilvl="0" w:tplc="BCDCC49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3676C5E6"/>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7C267A"/>
    <w:rsid w:val="00206EC4"/>
    <w:rsid w:val="00514443"/>
    <w:rsid w:val="00641D4E"/>
    <w:rsid w:val="00687BAE"/>
    <w:rsid w:val="007C267A"/>
    <w:rsid w:val="008C0057"/>
    <w:rsid w:val="009556CB"/>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267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C267A"/>
    <w:pPr>
      <w:spacing w:after="0" w:line="240" w:lineRule="auto"/>
      <w:ind w:left="720"/>
      <w:contextualSpacing/>
    </w:pPr>
    <w:rPr>
      <w:rFonts w:ascii="Times New Roman" w:eastAsia="Times New Roman" w:hAnsi="Times New Roman" w:cs="Times New Roman"/>
      <w:sz w:val="24"/>
      <w:szCs w:val="24"/>
    </w:rPr>
  </w:style>
  <w:style w:type="table" w:styleId="a5">
    <w:name w:val="Table Grid"/>
    <w:basedOn w:val="a1"/>
    <w:rsid w:val="007C267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2D6C7-FF44-4647-ABF5-5D573E9B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2013-06-14T10:04:00Z</dcterms:created>
  <dcterms:modified xsi:type="dcterms:W3CDTF">2013-06-17T08:18:00Z</dcterms:modified>
</cp:coreProperties>
</file>