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B68" w:rsidRPr="007A0D34" w:rsidRDefault="005B6B68" w:rsidP="005B6B68">
      <w:pPr>
        <w:rPr>
          <w:rFonts w:ascii="Traditional Arabic" w:hAnsi="Traditional Arabic" w:cs="Traditional Arabic"/>
          <w:b/>
          <w:bCs/>
          <w:sz w:val="48"/>
          <w:szCs w:val="48"/>
          <w:rtl/>
        </w:rPr>
      </w:pPr>
      <w:r w:rsidRPr="007A0D34">
        <w:rPr>
          <w:rFonts w:ascii="Traditional Arabic" w:hAnsi="Traditional Arabic" w:cs="Traditional Arabic" w:hint="cs"/>
          <w:b/>
          <w:bCs/>
          <w:sz w:val="48"/>
          <w:szCs w:val="48"/>
          <w:rtl/>
        </w:rPr>
        <w:t xml:space="preserve">بعض الأحاديث الواردة في النهي عن </w:t>
      </w:r>
      <w:r w:rsidRPr="007A0D34">
        <w:rPr>
          <w:rFonts w:ascii="Traditional Arabic" w:hAnsi="Traditional Arabic" w:cs="Traditional Arabic"/>
          <w:b/>
          <w:bCs/>
          <w:sz w:val="48"/>
          <w:szCs w:val="48"/>
          <w:rtl/>
        </w:rPr>
        <w:t>التشبه ب</w:t>
      </w:r>
      <w:r w:rsidRPr="007A0D34">
        <w:rPr>
          <w:rFonts w:ascii="Traditional Arabic" w:hAnsi="Traditional Arabic" w:cs="Traditional Arabic" w:hint="cs"/>
          <w:b/>
          <w:bCs/>
          <w:sz w:val="48"/>
          <w:szCs w:val="48"/>
          <w:rtl/>
        </w:rPr>
        <w:t xml:space="preserve">حركات </w:t>
      </w:r>
      <w:r w:rsidRPr="007A0D34">
        <w:rPr>
          <w:rFonts w:ascii="Traditional Arabic" w:hAnsi="Traditional Arabic" w:cs="Traditional Arabic"/>
          <w:b/>
          <w:bCs/>
          <w:sz w:val="48"/>
          <w:szCs w:val="48"/>
          <w:rtl/>
        </w:rPr>
        <w:t xml:space="preserve">الحيوان  </w:t>
      </w:r>
      <w:r w:rsidRPr="007A0D34">
        <w:rPr>
          <w:rFonts w:ascii="Traditional Arabic" w:hAnsi="Traditional Arabic" w:cs="Traditional Arabic" w:hint="cs"/>
          <w:b/>
          <w:bCs/>
          <w:sz w:val="48"/>
          <w:szCs w:val="48"/>
          <w:rtl/>
        </w:rPr>
        <w:t>في</w:t>
      </w:r>
      <w:r>
        <w:rPr>
          <w:rFonts w:ascii="Traditional Arabic" w:hAnsi="Traditional Arabic" w:cs="Traditional Arabic" w:hint="cs"/>
          <w:b/>
          <w:bCs/>
          <w:sz w:val="48"/>
          <w:szCs w:val="48"/>
          <w:rtl/>
        </w:rPr>
        <w:t xml:space="preserve"> أثناء الصلاة وما فيها من الأحكام الشرعية</w:t>
      </w:r>
    </w:p>
    <w:p w:rsidR="005B6B68" w:rsidRPr="00903B66" w:rsidRDefault="005B6B68" w:rsidP="005B6B68">
      <w:pPr>
        <w:pStyle w:val="papersubtitle"/>
        <w:bidi/>
        <w:spacing w:before="60" w:after="60"/>
        <w:rPr>
          <w:i/>
          <w:iCs/>
        </w:rPr>
      </w:pPr>
      <w:r>
        <w:rPr>
          <w:rFonts w:hint="cs"/>
          <w:i/>
          <w:iCs/>
          <w:rtl/>
        </w:rPr>
        <w:t>الحديث الشريف</w:t>
      </w:r>
    </w:p>
    <w:p w:rsidR="005B6B68" w:rsidRDefault="005B6B68" w:rsidP="005B6B68">
      <w:pPr>
        <w:bidi/>
        <w:spacing w:before="60" w:after="60"/>
      </w:pPr>
    </w:p>
    <w:p w:rsidR="005B6B68" w:rsidRDefault="005B6B68" w:rsidP="005B6B68">
      <w:pPr>
        <w:bidi/>
        <w:spacing w:before="60" w:after="60"/>
        <w:sectPr w:rsidR="005B6B68">
          <w:pgSz w:w="11906" w:h="16838"/>
          <w:pgMar w:top="1080" w:right="737" w:bottom="2432" w:left="737" w:header="720" w:footer="720" w:gutter="0"/>
          <w:cols w:space="720"/>
          <w:docGrid w:linePitch="360"/>
        </w:sectPr>
      </w:pPr>
    </w:p>
    <w:p w:rsidR="005B6B68" w:rsidRPr="00DB495D" w:rsidRDefault="005B6B68" w:rsidP="005B6B68">
      <w:pPr>
        <w:pStyle w:val="Affiliation"/>
        <w:bidi/>
        <w:spacing w:before="60" w:after="60"/>
        <w:rPr>
          <w:i/>
          <w:iCs/>
        </w:rPr>
      </w:pPr>
      <w:r>
        <w:rPr>
          <w:rFonts w:hint="cs"/>
          <w:i/>
          <w:iCs/>
          <w:rtl/>
        </w:rPr>
        <w:lastRenderedPageBreak/>
        <w:t>إعداد أ/ عبد الزراق أحمد محمود</w:t>
      </w:r>
    </w:p>
    <w:p w:rsidR="005B6B68" w:rsidRDefault="005B6B68" w:rsidP="005B6B68">
      <w:pPr>
        <w:pStyle w:val="Affiliation"/>
        <w:bidi/>
        <w:spacing w:before="60" w:after="60"/>
        <w:rPr>
          <w:rFonts w:eastAsia="Times New Roman"/>
        </w:rPr>
      </w:pPr>
      <w:r>
        <w:rPr>
          <w:rFonts w:hint="cs"/>
          <w:i/>
          <w:iCs/>
          <w:rtl/>
        </w:rPr>
        <w:t>قسم الحديث وعلومه</w:t>
      </w:r>
    </w:p>
    <w:p w:rsidR="005B6B68" w:rsidRDefault="005B6B68" w:rsidP="005B6B68">
      <w:pPr>
        <w:pStyle w:val="Affiliation"/>
        <w:bidi/>
        <w:spacing w:before="60" w:after="60"/>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5B6B68" w:rsidRDefault="005B6B68" w:rsidP="005B6B68">
      <w:pPr>
        <w:pStyle w:val="Affiliation"/>
        <w:bidi/>
        <w:spacing w:before="60" w:after="60"/>
        <w:rPr>
          <w:rtl/>
          <w:lang w:bidi="ar-EG"/>
        </w:rPr>
      </w:pPr>
      <w:r>
        <w:rPr>
          <w:rFonts w:hint="cs"/>
          <w:rtl/>
        </w:rPr>
        <w:t>شاه علم - ماليزيا</w:t>
      </w:r>
    </w:p>
    <w:p w:rsidR="005B6B68" w:rsidRPr="00FD4583" w:rsidRDefault="005B6B68" w:rsidP="005B6B68">
      <w:pPr>
        <w:pStyle w:val="Affiliation"/>
        <w:bidi/>
        <w:spacing w:before="60" w:after="60"/>
        <w:rPr>
          <w:lang w:bidi="ar-EG"/>
        </w:rPr>
        <w:sectPr w:rsidR="005B6B68" w:rsidRPr="00FD4583" w:rsidSect="002D49DE">
          <w:type w:val="continuous"/>
          <w:pgSz w:w="11906" w:h="16838"/>
          <w:pgMar w:top="1080" w:right="737" w:bottom="2432" w:left="737" w:header="720" w:footer="720" w:gutter="0"/>
          <w:cols w:space="566"/>
          <w:bidi/>
          <w:docGrid w:linePitch="360"/>
        </w:sectPr>
      </w:pPr>
      <w:r>
        <w:rPr>
          <w:i/>
          <w:iCs/>
        </w:rPr>
        <w:t>abudardaa@lms.mediu.edu.my</w:t>
      </w:r>
    </w:p>
    <w:p w:rsidR="005B6B68" w:rsidRPr="00F90E05" w:rsidRDefault="005B6B68" w:rsidP="005B6B68">
      <w:pPr>
        <w:pStyle w:val="Affiliation"/>
        <w:bidi/>
        <w:spacing w:before="60" w:after="60"/>
        <w:jc w:val="both"/>
        <w:rPr>
          <w:color w:val="FF0000"/>
          <w:lang w:bidi="ar-EG"/>
        </w:rPr>
        <w:sectPr w:rsidR="005B6B68" w:rsidRPr="00F90E05" w:rsidSect="002D49DE">
          <w:type w:val="continuous"/>
          <w:pgSz w:w="11906" w:h="16838"/>
          <w:pgMar w:top="1080" w:right="737" w:bottom="2432" w:left="737" w:header="720" w:footer="720" w:gutter="0"/>
          <w:cols w:space="566"/>
          <w:bidi/>
          <w:docGrid w:linePitch="360"/>
        </w:sectPr>
      </w:pPr>
    </w:p>
    <w:p w:rsidR="005B6B68" w:rsidRDefault="005B6B68" w:rsidP="005B6B68">
      <w:pPr>
        <w:pStyle w:val="Affiliation"/>
        <w:bidi/>
        <w:spacing w:before="60" w:after="60"/>
        <w:rPr>
          <w:lang w:bidi="ar-EG"/>
        </w:rPr>
      </w:pPr>
    </w:p>
    <w:p w:rsidR="003B52D7" w:rsidRDefault="003B52D7" w:rsidP="003B52D7">
      <w:pPr>
        <w:pStyle w:val="keywords"/>
        <w:bidi/>
        <w:spacing w:before="60" w:after="60"/>
        <w:ind w:firstLine="180"/>
        <w:rPr>
          <w:rtl/>
        </w:rPr>
      </w:pPr>
      <w:r>
        <w:rPr>
          <w:rFonts w:hint="cs"/>
          <w:rtl/>
        </w:rPr>
        <w:t>هذا البحث يتناول  بعض الأحاديث الوادرة في النهي عن التشبه بحركات الحيوان أثناء الصلاة ، ، وبيان ما فيها من  المسائل العلمية.</w:t>
      </w:r>
    </w:p>
    <w:p w:rsidR="00AE71DF" w:rsidRDefault="00AE71DF" w:rsidP="00AE71DF">
      <w:pPr>
        <w:pStyle w:val="Heading1"/>
        <w:bidi/>
        <w:spacing w:before="60" w:after="60"/>
        <w:rPr>
          <w:b/>
          <w:bCs/>
          <w:rtl/>
        </w:rPr>
      </w:pPr>
      <w:r w:rsidRPr="00E5535F">
        <w:rPr>
          <w:rFonts w:hint="cs"/>
          <w:b/>
          <w:bCs/>
          <w:i/>
          <w:iCs/>
          <w:rtl/>
        </w:rPr>
        <w:t>المقدمة</w:t>
      </w:r>
    </w:p>
    <w:p w:rsidR="00AE71DF" w:rsidRDefault="00AE71DF" w:rsidP="00AE71DF">
      <w:pPr>
        <w:bidi/>
        <w:jc w:val="lowKashida"/>
        <w:rPr>
          <w:rFonts w:eastAsia="Times New Roman" w:cs="DecoType Naskh Extensions"/>
          <w:b/>
          <w:bCs/>
          <w:sz w:val="24"/>
          <w:szCs w:val="24"/>
          <w:rtl/>
        </w:rPr>
      </w:pPr>
      <w:r>
        <w:rPr>
          <w:rFonts w:eastAsia="Times New Roman" w:cs="DecoType Naskh Extensions" w:hint="cs"/>
          <w:b/>
          <w:bCs/>
          <w:sz w:val="24"/>
          <w:szCs w:val="24"/>
          <w:rtl/>
        </w:rPr>
        <w:t xml:space="preserve">الحمد الله رب العالمين  وبه نستعين ونستهدي ونتوكل عليه  </w:t>
      </w:r>
      <w:r w:rsidRPr="006F65EC">
        <w:rPr>
          <w:rFonts w:eastAsia="Times New Roman" w:cs="DecoType Naskh Extensions"/>
          <w:b/>
          <w:bCs/>
          <w:sz w:val="24"/>
          <w:szCs w:val="24"/>
          <w:rtl/>
        </w:rPr>
        <w:t>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Pr>
          <w:rFonts w:eastAsia="Times New Roman" w:cs="DecoType Naskh Extensions" w:hint="cs"/>
          <w:b/>
          <w:bCs/>
          <w:sz w:val="24"/>
          <w:szCs w:val="24"/>
          <w:rtl/>
        </w:rPr>
        <w:t xml:space="preserve">. </w:t>
      </w:r>
    </w:p>
    <w:p w:rsidR="00AE71DF" w:rsidRDefault="00AE71DF" w:rsidP="00AE71DF">
      <w:pPr>
        <w:bidi/>
        <w:jc w:val="lowKashida"/>
        <w:rPr>
          <w:rFonts w:eastAsia="Times New Roman" w:cs="DecoType Naskh Extensions"/>
          <w:b/>
          <w:bCs/>
          <w:sz w:val="24"/>
          <w:szCs w:val="24"/>
          <w:rtl/>
        </w:rPr>
      </w:pPr>
      <w:r>
        <w:rPr>
          <w:rFonts w:eastAsia="Times New Roman" w:cs="DecoType Naskh Extensions" w:hint="cs"/>
          <w:b/>
          <w:bCs/>
          <w:sz w:val="24"/>
          <w:szCs w:val="24"/>
          <w:rtl/>
        </w:rPr>
        <w:t xml:space="preserve">أمابعد: </w:t>
      </w:r>
    </w:p>
    <w:p w:rsidR="00AE71DF" w:rsidRPr="00576343" w:rsidRDefault="00AE71DF" w:rsidP="00801886">
      <w:pPr>
        <w:bidi/>
        <w:jc w:val="lowKashida"/>
        <w:rPr>
          <w:rFonts w:eastAsia="Times New Roman" w:cs="DecoType Naskh Extensions"/>
          <w:b/>
          <w:bCs/>
          <w:sz w:val="24"/>
          <w:szCs w:val="24"/>
          <w:rtl/>
        </w:rPr>
      </w:pPr>
      <w:r>
        <w:rPr>
          <w:rFonts w:eastAsia="Times New Roman" w:cs="DecoType Naskh Extensions" w:hint="cs"/>
          <w:b/>
          <w:bCs/>
          <w:sz w:val="24"/>
          <w:szCs w:val="24"/>
          <w:rtl/>
        </w:rPr>
        <w:t xml:space="preserve">يتناول هذا البحث الحديث الثالث من الأحاديث </w:t>
      </w:r>
      <w:r w:rsidR="00E5365E">
        <w:rPr>
          <w:rFonts w:eastAsia="Times New Roman" w:cs="DecoType Naskh Extensions" w:hint="cs"/>
          <w:b/>
          <w:bCs/>
          <w:sz w:val="24"/>
          <w:szCs w:val="24"/>
          <w:rtl/>
        </w:rPr>
        <w:t xml:space="preserve"> </w:t>
      </w:r>
      <w:r>
        <w:rPr>
          <w:rFonts w:eastAsia="Times New Roman" w:cs="DecoType Naskh Extensions" w:hint="cs"/>
          <w:b/>
          <w:bCs/>
          <w:sz w:val="24"/>
          <w:szCs w:val="24"/>
          <w:rtl/>
        </w:rPr>
        <w:t xml:space="preserve">الواردة في النهي عن التشبه بحركات الحيوان أثناء الصلاة ،  </w:t>
      </w:r>
      <w:r w:rsidR="00E5365E">
        <w:rPr>
          <w:rFonts w:eastAsia="Times New Roman" w:cs="DecoType Naskh Extensions" w:hint="cs"/>
          <w:b/>
          <w:bCs/>
          <w:sz w:val="24"/>
          <w:szCs w:val="24"/>
          <w:rtl/>
        </w:rPr>
        <w:t>وبيان  معنى الوعيد لمن  خالف إمامه  في أفعال الصلاة ، وسبب تخصيص  صورة الحمار  دون سائر الحيوانات وحكم</w:t>
      </w:r>
      <w:r w:rsidR="004B679F">
        <w:rPr>
          <w:rFonts w:eastAsia="Times New Roman" w:cs="DecoType Naskh Extensions" w:hint="cs"/>
          <w:b/>
          <w:bCs/>
          <w:sz w:val="24"/>
          <w:szCs w:val="24"/>
          <w:rtl/>
        </w:rPr>
        <w:t xml:space="preserve"> هذه المخالفة.</w:t>
      </w:r>
      <w:r w:rsidR="00E5365E">
        <w:rPr>
          <w:rFonts w:eastAsia="Times New Roman" w:cs="DecoType Naskh Extensions" w:hint="cs"/>
          <w:b/>
          <w:bCs/>
          <w:sz w:val="24"/>
          <w:szCs w:val="24"/>
          <w:rtl/>
        </w:rPr>
        <w:t xml:space="preserve">  </w:t>
      </w:r>
    </w:p>
    <w:p w:rsidR="005B6B68" w:rsidRPr="00551A0C" w:rsidRDefault="005B6B68" w:rsidP="005B6B68">
      <w:pPr>
        <w:autoSpaceDE w:val="0"/>
        <w:autoSpaceDN w:val="0"/>
        <w:adjustRightInd w:val="0"/>
        <w:rPr>
          <w:rFonts w:ascii="Traditional Arabic" w:hAnsi="Traditional Arabic" w:cs="Traditional Arabic"/>
          <w:b/>
          <w:bCs/>
          <w:sz w:val="28"/>
          <w:szCs w:val="28"/>
        </w:rPr>
      </w:pPr>
      <w:r w:rsidRPr="00551A0C">
        <w:rPr>
          <w:rFonts w:ascii="Traditional Arabic" w:hAnsi="Traditional Arabic" w:cs="Traditional Arabic" w:hint="cs"/>
          <w:b/>
          <w:bCs/>
          <w:sz w:val="28"/>
          <w:szCs w:val="28"/>
          <w:rtl/>
        </w:rPr>
        <w:t>الحديث ال</w:t>
      </w:r>
      <w:r>
        <w:rPr>
          <w:rFonts w:ascii="Traditional Arabic" w:hAnsi="Traditional Arabic" w:cs="Traditional Arabic" w:hint="cs"/>
          <w:b/>
          <w:bCs/>
          <w:sz w:val="28"/>
          <w:szCs w:val="28"/>
          <w:rtl/>
        </w:rPr>
        <w:t>ثالث</w:t>
      </w:r>
    </w:p>
    <w:p w:rsidR="005B6B68" w:rsidRPr="005B6B68" w:rsidRDefault="005B6B68" w:rsidP="005B6B68">
      <w:pPr>
        <w:autoSpaceDE w:val="0"/>
        <w:autoSpaceDN w:val="0"/>
        <w:bidi/>
        <w:adjustRightInd w:val="0"/>
        <w:jc w:val="both"/>
        <w:rPr>
          <w:rFonts w:ascii="Traditional Arabic" w:hAnsi="Traditional Arabic" w:cs="Traditional Arabic"/>
          <w:b/>
          <w:bCs/>
          <w:sz w:val="28"/>
          <w:szCs w:val="28"/>
          <w:rtl/>
        </w:rPr>
      </w:pPr>
      <w:r w:rsidRPr="00551A0C">
        <w:rPr>
          <w:rFonts w:ascii="Traditional Arabic" w:hAnsi="Traditional Arabic" w:cs="Traditional Arabic" w:hint="cs"/>
          <w:b/>
          <w:bCs/>
          <w:sz w:val="28"/>
          <w:szCs w:val="28"/>
          <w:rtl/>
        </w:rPr>
        <w:t xml:space="preserve"> </w:t>
      </w:r>
      <w:r w:rsidRPr="005B6B68">
        <w:rPr>
          <w:rFonts w:ascii="Traditional Arabic" w:hAnsi="Traditional Arabic" w:cs="Traditional Arabic" w:hint="cs"/>
          <w:b/>
          <w:bCs/>
          <w:sz w:val="22"/>
          <w:szCs w:val="22"/>
          <w:rtl/>
        </w:rPr>
        <w:t xml:space="preserve">    </w:t>
      </w:r>
      <w:r w:rsidRPr="005B6B68">
        <w:rPr>
          <w:rFonts w:ascii="Traditional Arabic" w:hAnsi="Traditional Arabic" w:cs="Traditional Arabic"/>
          <w:b/>
          <w:bCs/>
          <w:sz w:val="28"/>
          <w:szCs w:val="28"/>
          <w:rtl/>
        </w:rPr>
        <w:t>ع</w:t>
      </w:r>
      <w:r w:rsidRPr="005B6B68">
        <w:rPr>
          <w:rFonts w:ascii="Traditional Arabic" w:hAnsi="Traditional Arabic" w:cs="Traditional Arabic" w:hint="cs"/>
          <w:b/>
          <w:bCs/>
          <w:sz w:val="28"/>
          <w:szCs w:val="28"/>
          <w:rtl/>
        </w:rPr>
        <w:t>ن</w:t>
      </w:r>
      <w:r w:rsidRPr="005B6B68">
        <w:rPr>
          <w:rFonts w:ascii="Traditional Arabic" w:hAnsi="Traditional Arabic" w:cs="Traditional Arabic"/>
          <w:b/>
          <w:bCs/>
          <w:sz w:val="28"/>
          <w:szCs w:val="28"/>
          <w:rtl/>
        </w:rPr>
        <w:t xml:space="preserve"> أَبَ</w:t>
      </w:r>
      <w:r w:rsidRPr="005B6B68">
        <w:rPr>
          <w:rFonts w:ascii="Traditional Arabic" w:hAnsi="Traditional Arabic" w:cs="Traditional Arabic" w:hint="cs"/>
          <w:b/>
          <w:bCs/>
          <w:sz w:val="28"/>
          <w:szCs w:val="28"/>
          <w:rtl/>
        </w:rPr>
        <w:t>ي</w:t>
      </w:r>
      <w:r w:rsidRPr="005B6B68">
        <w:rPr>
          <w:rFonts w:ascii="Traditional Arabic" w:hAnsi="Traditional Arabic" w:cs="Traditional Arabic"/>
          <w:b/>
          <w:bCs/>
          <w:sz w:val="28"/>
          <w:szCs w:val="28"/>
          <w:rtl/>
        </w:rPr>
        <w:t xml:space="preserve"> هُرَيْرَةَ، عَنِ النَّبِيِّ </w:t>
      </w:r>
      <w:r w:rsidRPr="005B6B68">
        <w:rPr>
          <w:rFonts w:ascii="Traditional Arabic" w:hAnsi="Traditional Arabic" w:cs="Traditional Arabic"/>
          <w:sz w:val="28"/>
          <w:szCs w:val="28"/>
        </w:rPr>
        <w:sym w:font="AGA Arabesque" w:char="F072"/>
      </w:r>
      <w:r w:rsidRPr="005B6B68">
        <w:rPr>
          <w:rFonts w:ascii="Traditional Arabic" w:hAnsi="Traditional Arabic" w:cs="Traditional Arabic" w:hint="cs"/>
          <w:b/>
          <w:bCs/>
          <w:sz w:val="28"/>
          <w:szCs w:val="28"/>
          <w:rtl/>
        </w:rPr>
        <w:t xml:space="preserve"> </w:t>
      </w:r>
      <w:r w:rsidRPr="005B6B68">
        <w:rPr>
          <w:rFonts w:ascii="Traditional Arabic" w:hAnsi="Traditional Arabic" w:cs="Traditional Arabic"/>
          <w:b/>
          <w:bCs/>
          <w:sz w:val="28"/>
          <w:szCs w:val="28"/>
          <w:rtl/>
        </w:rPr>
        <w:t>قَالَ:</w:t>
      </w:r>
      <w:r w:rsidRPr="005B6B68">
        <w:rPr>
          <w:rFonts w:ascii="Arial Narrow" w:hAnsi="Arial Narrow" w:cs="Traditional Arabic"/>
          <w:b/>
          <w:bCs/>
          <w:sz w:val="28"/>
          <w:szCs w:val="28"/>
          <w:rtl/>
        </w:rPr>
        <w:t>«</w:t>
      </w:r>
      <w:r w:rsidRPr="005B6B68">
        <w:rPr>
          <w:rFonts w:ascii="Traditional Arabic" w:hAnsi="Traditional Arabic" w:cs="Traditional Arabic"/>
          <w:b/>
          <w:bCs/>
          <w:sz w:val="28"/>
          <w:szCs w:val="28"/>
          <w:rtl/>
        </w:rPr>
        <w:t>أَمَا يَخْشَى أَحَدُكُمْ - أَوْ: لاَ يَخْشَى أَحَدُكُمْ - إِذَا رَفَعَ رَأْسَهُ قَبْلَ الإِمَامِ،</w:t>
      </w:r>
      <w:r w:rsidRPr="005B6B68">
        <w:rPr>
          <w:rFonts w:ascii="Traditional Arabic" w:hAnsi="Traditional Arabic" w:cs="Traditional Arabic" w:hint="cs"/>
          <w:b/>
          <w:bCs/>
          <w:sz w:val="28"/>
          <w:szCs w:val="28"/>
          <w:rtl/>
        </w:rPr>
        <w:t xml:space="preserve"> </w:t>
      </w:r>
      <w:r w:rsidRPr="005B6B68">
        <w:rPr>
          <w:rFonts w:ascii="Traditional Arabic" w:hAnsi="Traditional Arabic" w:cs="Traditional Arabic"/>
          <w:b/>
          <w:bCs/>
          <w:sz w:val="28"/>
          <w:szCs w:val="28"/>
          <w:rtl/>
        </w:rPr>
        <w:t>أَنْ يَجْعَلَ اللَّهُ رَأْسَهُ رَأْسَ حِمَارٍ، أَوْ يَجْعَلَ اللَّهُ صُورَتَهُ صُورَةَ</w:t>
      </w:r>
      <w:r w:rsidRPr="005B6B68">
        <w:rPr>
          <w:rFonts w:ascii="Traditional Arabic" w:hAnsi="Traditional Arabic" w:cs="Traditional Arabic" w:hint="cs"/>
          <w:b/>
          <w:bCs/>
          <w:sz w:val="28"/>
          <w:szCs w:val="28"/>
          <w:rtl/>
        </w:rPr>
        <w:t xml:space="preserve"> حمار</w:t>
      </w:r>
      <w:r w:rsidRPr="005B6B68">
        <w:rPr>
          <w:rFonts w:ascii="Traditional Arabic" w:hAnsi="Traditional Arabic" w:cs="Traditional Arabic"/>
          <w:b/>
          <w:bCs/>
          <w:sz w:val="28"/>
          <w:szCs w:val="28"/>
        </w:rPr>
        <w:t>«</w:t>
      </w:r>
      <w:r w:rsidRPr="005B6B68">
        <w:rPr>
          <w:rFonts w:asciiTheme="minorBidi" w:hAnsiTheme="minorBidi"/>
          <w:b/>
          <w:bCs/>
          <w:sz w:val="28"/>
          <w:szCs w:val="28"/>
          <w:vertAlign w:val="superscript"/>
          <w:rtl/>
        </w:rPr>
        <w:t>(</w:t>
      </w:r>
      <w:r w:rsidRPr="005B6B68">
        <w:rPr>
          <w:rStyle w:val="FootnoteReference"/>
          <w:rFonts w:asciiTheme="minorBidi" w:hAnsiTheme="minorBidi"/>
          <w:sz w:val="28"/>
          <w:szCs w:val="28"/>
          <w:rtl/>
        </w:rPr>
        <w:footnoteReference w:id="1"/>
      </w:r>
      <w:r w:rsidRPr="005B6B68">
        <w:rPr>
          <w:rFonts w:asciiTheme="minorBidi" w:hAnsiTheme="minorBidi"/>
          <w:b/>
          <w:bCs/>
          <w:sz w:val="28"/>
          <w:szCs w:val="28"/>
          <w:vertAlign w:val="superscript"/>
          <w:rtl/>
        </w:rPr>
        <w:t>)</w:t>
      </w:r>
    </w:p>
    <w:p w:rsidR="00CA2559" w:rsidRDefault="00CA2559" w:rsidP="005B6B68">
      <w:pPr>
        <w:autoSpaceDE w:val="0"/>
        <w:autoSpaceDN w:val="0"/>
        <w:bidi/>
        <w:adjustRightInd w:val="0"/>
        <w:jc w:val="both"/>
        <w:rPr>
          <w:rFonts w:ascii="Traditional Arabic" w:hAnsi="Traditional Arabic" w:cs="Traditional Arabic"/>
          <w:b/>
          <w:bCs/>
          <w:sz w:val="28"/>
          <w:szCs w:val="28"/>
          <w:rtl/>
        </w:rPr>
      </w:pPr>
    </w:p>
    <w:p w:rsidR="004F2D9B" w:rsidRDefault="004F2D9B" w:rsidP="00CA2559">
      <w:pPr>
        <w:autoSpaceDE w:val="0"/>
        <w:autoSpaceDN w:val="0"/>
        <w:bidi/>
        <w:adjustRightInd w:val="0"/>
        <w:jc w:val="both"/>
        <w:rPr>
          <w:rFonts w:ascii="Traditional Arabic" w:hAnsi="Traditional Arabic" w:cs="Traditional Arabic"/>
          <w:b/>
          <w:bCs/>
          <w:sz w:val="28"/>
          <w:szCs w:val="28"/>
          <w:rtl/>
        </w:rPr>
      </w:pPr>
    </w:p>
    <w:p w:rsidR="005B6B68" w:rsidRPr="00CA2559" w:rsidRDefault="00CA2559" w:rsidP="004F2D9B">
      <w:pPr>
        <w:autoSpaceDE w:val="0"/>
        <w:autoSpaceDN w:val="0"/>
        <w:bidi/>
        <w:adjustRightInd w:val="0"/>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معنى الوعيد </w:t>
      </w:r>
    </w:p>
    <w:p w:rsidR="005B6B68" w:rsidRDefault="00F10F08" w:rsidP="00CA2559">
      <w:pPr>
        <w:autoSpaceDE w:val="0"/>
        <w:autoSpaceDN w:val="0"/>
        <w:bidi/>
        <w:adjustRightInd w:val="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5B6B68" w:rsidRPr="005B6B68">
        <w:rPr>
          <w:rFonts w:ascii="Traditional Arabic" w:hAnsi="Traditional Arabic" w:cs="Traditional Arabic"/>
          <w:sz w:val="28"/>
          <w:szCs w:val="28"/>
          <w:rtl/>
        </w:rPr>
        <w:t>يقتضي</w:t>
      </w:r>
      <w:r w:rsidR="005B6B68" w:rsidRPr="005B6B68">
        <w:rPr>
          <w:rFonts w:ascii="Traditional Arabic" w:hAnsi="Traditional Arabic" w:cs="Traditional Arabic" w:hint="cs"/>
          <w:sz w:val="28"/>
          <w:szCs w:val="28"/>
          <w:rtl/>
        </w:rPr>
        <w:t xml:space="preserve"> معنى هذا الوعيد</w:t>
      </w:r>
      <w:r w:rsidR="005B6B68" w:rsidRPr="005B6B68">
        <w:rPr>
          <w:rFonts w:ascii="Traditional Arabic" w:hAnsi="Traditional Arabic" w:cs="Traditional Arabic"/>
          <w:sz w:val="28"/>
          <w:szCs w:val="28"/>
          <w:rtl/>
        </w:rPr>
        <w:t xml:space="preserve"> تغيير الصورة الظاهرة</w:t>
      </w:r>
      <w:r w:rsidR="00CA2559">
        <w:rPr>
          <w:rFonts w:ascii="Traditional Arabic" w:hAnsi="Traditional Arabic" w:cs="Traditional Arabic" w:hint="cs"/>
          <w:sz w:val="28"/>
          <w:szCs w:val="28"/>
          <w:rtl/>
        </w:rPr>
        <w:t>،</w:t>
      </w:r>
      <w:r w:rsidR="005B6B68" w:rsidRPr="005B6B68">
        <w:rPr>
          <w:rFonts w:ascii="Traditional Arabic" w:hAnsi="Traditional Arabic" w:cs="Traditional Arabic"/>
          <w:sz w:val="28"/>
          <w:szCs w:val="28"/>
          <w:rtl/>
        </w:rPr>
        <w:t xml:space="preserve"> ويحتمل أن يرجع إلى أمر معنوي مجازي. فإن الحمار موصوف بالبلادة</w:t>
      </w:r>
      <w:r w:rsidR="00CA2559">
        <w:rPr>
          <w:rFonts w:ascii="Traditional Arabic" w:hAnsi="Traditional Arabic" w:cs="Traditional Arabic" w:hint="cs"/>
          <w:sz w:val="28"/>
          <w:szCs w:val="28"/>
          <w:rtl/>
        </w:rPr>
        <w:t>،</w:t>
      </w:r>
      <w:r w:rsidR="005B6B68" w:rsidRPr="005B6B68">
        <w:rPr>
          <w:rFonts w:ascii="Traditional Arabic" w:hAnsi="Traditional Arabic" w:cs="Traditional Arabic"/>
          <w:sz w:val="28"/>
          <w:szCs w:val="28"/>
          <w:rtl/>
        </w:rPr>
        <w:t xml:space="preserve"> وفيه دليل صريح على تحريم تعمد رفع المأموم رأسه قبل الإمام في ركوعه وسجوده</w:t>
      </w:r>
      <w:r w:rsidR="005B6B68" w:rsidRPr="005B6B68">
        <w:rPr>
          <w:rFonts w:ascii="Traditional Arabic" w:hAnsi="Traditional Arabic" w:cs="Traditional Arabic" w:hint="cs"/>
          <w:sz w:val="28"/>
          <w:szCs w:val="28"/>
          <w:rtl/>
        </w:rPr>
        <w:t>،</w:t>
      </w:r>
      <w:r w:rsidR="005B6B68" w:rsidRPr="005B6B68">
        <w:rPr>
          <w:rFonts w:ascii="Traditional Arabic" w:hAnsi="Traditional Arabic" w:cs="Traditional Arabic"/>
          <w:sz w:val="28"/>
          <w:szCs w:val="28"/>
          <w:rtl/>
        </w:rPr>
        <w:t xml:space="preserve"> فإنه توعد عليه بالمسخ، وهو من أشد العقوبات</w:t>
      </w:r>
      <w:r w:rsidR="005B6B68" w:rsidRPr="005B6B68">
        <w:rPr>
          <w:rFonts w:ascii="Traditional Arabic" w:hAnsi="Traditional Arabic" w:cs="Traditional Arabic" w:hint="cs"/>
          <w:sz w:val="28"/>
          <w:szCs w:val="28"/>
          <w:rtl/>
        </w:rPr>
        <w:t xml:space="preserve">. </w:t>
      </w:r>
      <w:r w:rsidR="005B6B68" w:rsidRPr="005B6B68">
        <w:rPr>
          <w:rFonts w:asciiTheme="minorBidi" w:hAnsiTheme="minorBidi"/>
          <w:b/>
          <w:bCs/>
          <w:sz w:val="28"/>
          <w:szCs w:val="28"/>
          <w:vertAlign w:val="superscript"/>
          <w:rtl/>
        </w:rPr>
        <w:t>(</w:t>
      </w:r>
      <w:r w:rsidR="005B6B68" w:rsidRPr="005B6B68">
        <w:rPr>
          <w:rStyle w:val="FootnoteReference"/>
          <w:rFonts w:asciiTheme="minorBidi" w:hAnsiTheme="minorBidi"/>
          <w:sz w:val="28"/>
          <w:szCs w:val="28"/>
          <w:rtl/>
        </w:rPr>
        <w:footnoteReference w:id="2"/>
      </w:r>
      <w:r w:rsidR="005B6B68" w:rsidRPr="005B6B68">
        <w:rPr>
          <w:rFonts w:asciiTheme="minorBidi" w:hAnsiTheme="minorBidi"/>
          <w:b/>
          <w:bCs/>
          <w:sz w:val="28"/>
          <w:szCs w:val="28"/>
          <w:vertAlign w:val="superscript"/>
          <w:rtl/>
        </w:rPr>
        <w:t>)</w:t>
      </w:r>
    </w:p>
    <w:p w:rsidR="00CA2559" w:rsidRDefault="00CA2559" w:rsidP="00CA2559">
      <w:pPr>
        <w:autoSpaceDE w:val="0"/>
        <w:autoSpaceDN w:val="0"/>
        <w:bidi/>
        <w:adjustRightInd w:val="0"/>
        <w:jc w:val="both"/>
        <w:rPr>
          <w:rFonts w:ascii="Traditional Arabic" w:hAnsi="Traditional Arabic" w:cs="Traditional Arabic"/>
          <w:b/>
          <w:bCs/>
          <w:sz w:val="28"/>
          <w:szCs w:val="28"/>
          <w:rtl/>
        </w:rPr>
      </w:pPr>
    </w:p>
    <w:p w:rsidR="00CA2559" w:rsidRPr="00CA2559" w:rsidRDefault="00CA2559" w:rsidP="00CA2559">
      <w:pPr>
        <w:autoSpaceDE w:val="0"/>
        <w:autoSpaceDN w:val="0"/>
        <w:bidi/>
        <w:adjustRightInd w:val="0"/>
        <w:jc w:val="both"/>
        <w:rPr>
          <w:rFonts w:ascii="Traditional Arabic" w:hAnsi="Traditional Arabic" w:cs="Traditional Arabic"/>
          <w:b/>
          <w:bCs/>
          <w:sz w:val="28"/>
          <w:szCs w:val="28"/>
        </w:rPr>
      </w:pPr>
      <w:r w:rsidRPr="00CA2559">
        <w:rPr>
          <w:rFonts w:ascii="Traditional Arabic" w:hAnsi="Traditional Arabic" w:cs="Traditional Arabic" w:hint="cs"/>
          <w:b/>
          <w:bCs/>
          <w:sz w:val="28"/>
          <w:szCs w:val="28"/>
          <w:rtl/>
        </w:rPr>
        <w:t xml:space="preserve">الحكمة في تخصيص الحمار بالذكر </w:t>
      </w:r>
    </w:p>
    <w:p w:rsidR="005B6B68" w:rsidRDefault="005B6B68" w:rsidP="00CA2559">
      <w:pPr>
        <w:autoSpaceDE w:val="0"/>
        <w:autoSpaceDN w:val="0"/>
        <w:bidi/>
        <w:adjustRightInd w:val="0"/>
        <w:jc w:val="both"/>
        <w:rPr>
          <w:rFonts w:ascii="Traditional Arabic" w:hAnsi="Traditional Arabic" w:cs="Traditional Arabic"/>
          <w:sz w:val="28"/>
          <w:szCs w:val="28"/>
          <w:rtl/>
        </w:rPr>
      </w:pPr>
      <w:r w:rsidRPr="005B6B68">
        <w:rPr>
          <w:rFonts w:ascii="Traditional Arabic" w:hAnsi="Traditional Arabic" w:cs="Traditional Arabic" w:hint="cs"/>
          <w:b/>
          <w:bCs/>
          <w:sz w:val="28"/>
          <w:szCs w:val="28"/>
          <w:rtl/>
        </w:rPr>
        <w:t xml:space="preserve">     </w:t>
      </w:r>
      <w:r w:rsidRPr="005B6B68">
        <w:rPr>
          <w:rFonts w:ascii="Traditional Arabic" w:hAnsi="Traditional Arabic" w:cs="Traditional Arabic" w:hint="cs"/>
          <w:sz w:val="28"/>
          <w:szCs w:val="28"/>
          <w:rtl/>
        </w:rPr>
        <w:t>لماذا اختص الحمار بالذكر دون سائر الحيوانات على الرواية الصحيحة المشهورة؟ أجاب الحافظ ابن رجب الحنبلي رحمه الله عن هذا السؤال حيث قال: "</w:t>
      </w:r>
      <w:r w:rsidRPr="005B6B68">
        <w:rPr>
          <w:rFonts w:ascii="Traditional Arabic" w:hAnsi="Traditional Arabic" w:cs="Traditional Arabic"/>
          <w:sz w:val="28"/>
          <w:szCs w:val="28"/>
          <w:rtl/>
        </w:rPr>
        <w:t>وإنما اختص الحمار بالذكر دون سائر الحيوانات على الرواية الصحيحة المشهورة والله أعلم</w:t>
      </w:r>
      <w:r w:rsidRPr="005B6B68">
        <w:rPr>
          <w:rFonts w:ascii="Traditional Arabic" w:hAnsi="Traditional Arabic" w:cs="Traditional Arabic" w:hint="cs"/>
          <w:sz w:val="28"/>
          <w:szCs w:val="28"/>
          <w:rtl/>
        </w:rPr>
        <w:t xml:space="preserve">؛ </w:t>
      </w:r>
      <w:r w:rsidRPr="005B6B68">
        <w:rPr>
          <w:rFonts w:ascii="Traditional Arabic" w:hAnsi="Traditional Arabic" w:cs="Traditional Arabic"/>
          <w:sz w:val="28"/>
          <w:szCs w:val="28"/>
          <w:rtl/>
        </w:rPr>
        <w:t>ل</w:t>
      </w:r>
      <w:r w:rsidRPr="005B6B68">
        <w:rPr>
          <w:rFonts w:ascii="Traditional Arabic" w:hAnsi="Traditional Arabic" w:cs="Traditional Arabic" w:hint="cs"/>
          <w:sz w:val="28"/>
          <w:szCs w:val="28"/>
          <w:rtl/>
        </w:rPr>
        <w:t>أ</w:t>
      </w:r>
      <w:r w:rsidRPr="005B6B68">
        <w:rPr>
          <w:rFonts w:ascii="Traditional Arabic" w:hAnsi="Traditional Arabic" w:cs="Traditional Arabic"/>
          <w:sz w:val="28"/>
          <w:szCs w:val="28"/>
          <w:rtl/>
        </w:rPr>
        <w:t xml:space="preserve">ن الحمار من أبلد الحيوانات وأجهلها، وبه يضرب المثل في الجهل؛ ولهذا مثل الله به عالم السوء الذي يحمل العلم ولا ينتفع به في قوله: </w:t>
      </w:r>
      <w:r w:rsidRPr="005B6B68">
        <w:rPr>
          <w:rFonts w:ascii="Traditional Arabic" w:hAnsi="Traditional Arabic" w:cs="DecoType Thuluth"/>
          <w:sz w:val="28"/>
          <w:szCs w:val="28"/>
        </w:rPr>
        <w:sym w:font="AGA Arabesque" w:char="F029"/>
      </w:r>
      <w:r w:rsidRPr="005B6B68">
        <w:rPr>
          <w:rFonts w:ascii="Traditional Arabic" w:hAnsi="Traditional Arabic" w:cs="DecoType Naskh Extensions"/>
          <w:b/>
          <w:bCs/>
          <w:sz w:val="28"/>
          <w:szCs w:val="28"/>
          <w:rtl/>
        </w:rPr>
        <w:t>مَثَلُ الَّذِينَ حُمِّلُوا التَّوْرَاةَ ثُمَّ لَمْ يَحْمِلُوهَا كَمَثَلِ الْحِمَارِ يَحْمِلُ أَسْفَارًا بِئْسَ مَثَلُ الْقَوْمِ الَّذِينَ كَذَّبُوا بِآيَاتِ اللَّهِ وَاللَّهُ لَا يَهْدِي الْقَوْمَ الظَّالِمِينَ</w:t>
      </w:r>
      <w:r w:rsidRPr="005B6B68">
        <w:rPr>
          <w:rFonts w:ascii="Traditional Arabic" w:hAnsi="Traditional Arabic" w:cs="Traditional Arabic"/>
          <w:sz w:val="28"/>
          <w:szCs w:val="28"/>
        </w:rPr>
        <w:sym w:font="AGA Arabesque" w:char="F028"/>
      </w:r>
      <w:r w:rsidRPr="005B6B68">
        <w:rPr>
          <w:rFonts w:asciiTheme="minorBidi" w:hAnsiTheme="minorBidi"/>
          <w:b/>
          <w:bCs/>
          <w:sz w:val="28"/>
          <w:szCs w:val="28"/>
          <w:vertAlign w:val="superscript"/>
          <w:rtl/>
        </w:rPr>
        <w:t>(</w:t>
      </w:r>
      <w:r w:rsidRPr="005B6B68">
        <w:rPr>
          <w:rStyle w:val="FootnoteReference"/>
          <w:rFonts w:asciiTheme="minorBidi" w:hAnsiTheme="minorBidi"/>
          <w:sz w:val="28"/>
          <w:szCs w:val="28"/>
          <w:rtl/>
        </w:rPr>
        <w:footnoteReference w:id="3"/>
      </w:r>
      <w:r w:rsidRPr="005B6B68">
        <w:rPr>
          <w:rFonts w:asciiTheme="minorBidi" w:hAnsiTheme="minorBidi"/>
          <w:b/>
          <w:bCs/>
          <w:sz w:val="28"/>
          <w:szCs w:val="28"/>
          <w:vertAlign w:val="superscript"/>
          <w:rtl/>
        </w:rPr>
        <w:t>)</w:t>
      </w:r>
      <w:r w:rsidRPr="005B6B68">
        <w:rPr>
          <w:rFonts w:ascii="Traditional Arabic" w:hAnsi="Traditional Arabic" w:cs="Traditional Arabic"/>
          <w:sz w:val="28"/>
          <w:szCs w:val="28"/>
          <w:rtl/>
        </w:rPr>
        <w:t>.</w:t>
      </w:r>
      <w:r w:rsidRPr="005B6B68">
        <w:rPr>
          <w:rFonts w:ascii="Traditional Arabic" w:hAnsi="Traditional Arabic" w:cs="Traditional Arabic" w:hint="cs"/>
          <w:sz w:val="28"/>
          <w:szCs w:val="28"/>
          <w:rtl/>
        </w:rPr>
        <w:t xml:space="preserve"> </w:t>
      </w:r>
      <w:r w:rsidRPr="005B6B68">
        <w:rPr>
          <w:rFonts w:ascii="Traditional Arabic" w:hAnsi="Traditional Arabic" w:cs="Traditional Arabic"/>
          <w:sz w:val="28"/>
          <w:szCs w:val="28"/>
          <w:rtl/>
        </w:rPr>
        <w:t>فكذلك المتعبد بالجهل يشبه الحمار، فإن الحمار يحرك رأسه ويرفعه ويخفضه لغير معنى، فشبه من يرفع رأسه</w:t>
      </w:r>
      <w:r w:rsidRPr="005B6B68">
        <w:rPr>
          <w:rFonts w:ascii="Traditional Arabic" w:hAnsi="Traditional Arabic" w:cs="Traditional Arabic"/>
          <w:b/>
          <w:bCs/>
          <w:sz w:val="28"/>
          <w:szCs w:val="28"/>
          <w:rtl/>
        </w:rPr>
        <w:t xml:space="preserve"> </w:t>
      </w:r>
      <w:r w:rsidRPr="005B6B68">
        <w:rPr>
          <w:rFonts w:ascii="Traditional Arabic" w:hAnsi="Traditional Arabic" w:cs="Traditional Arabic"/>
          <w:sz w:val="28"/>
          <w:szCs w:val="28"/>
          <w:rtl/>
        </w:rPr>
        <w:t>قبل إمامه بالحمار</w:t>
      </w:r>
      <w:r w:rsidRPr="005B6B68">
        <w:rPr>
          <w:rFonts w:ascii="Traditional Arabic" w:hAnsi="Traditional Arabic" w:cs="Traditional Arabic" w:hint="cs"/>
          <w:sz w:val="28"/>
          <w:szCs w:val="28"/>
          <w:rtl/>
        </w:rPr>
        <w:t>."</w:t>
      </w:r>
      <w:r w:rsidRPr="005B6B68">
        <w:rPr>
          <w:rFonts w:asciiTheme="minorBidi" w:hAnsiTheme="minorBidi"/>
          <w:b/>
          <w:bCs/>
          <w:sz w:val="28"/>
          <w:szCs w:val="28"/>
          <w:vertAlign w:val="superscript"/>
          <w:rtl/>
        </w:rPr>
        <w:t>(</w:t>
      </w:r>
      <w:r w:rsidRPr="005B6B68">
        <w:rPr>
          <w:rStyle w:val="FootnoteReference"/>
          <w:rFonts w:asciiTheme="minorBidi" w:hAnsiTheme="minorBidi"/>
          <w:sz w:val="28"/>
          <w:szCs w:val="28"/>
          <w:rtl/>
        </w:rPr>
        <w:footnoteReference w:id="4"/>
      </w:r>
      <w:r w:rsidRPr="005B6B68">
        <w:rPr>
          <w:rFonts w:asciiTheme="minorBidi" w:hAnsiTheme="minorBidi"/>
          <w:b/>
          <w:bCs/>
          <w:sz w:val="28"/>
          <w:szCs w:val="28"/>
          <w:vertAlign w:val="superscript"/>
          <w:rtl/>
        </w:rPr>
        <w:t>)</w:t>
      </w:r>
    </w:p>
    <w:p w:rsidR="00801886" w:rsidRDefault="00801886" w:rsidP="004B679F">
      <w:pPr>
        <w:autoSpaceDE w:val="0"/>
        <w:autoSpaceDN w:val="0"/>
        <w:bidi/>
        <w:adjustRightInd w:val="0"/>
        <w:jc w:val="both"/>
        <w:rPr>
          <w:rFonts w:ascii="Traditional Arabic" w:eastAsiaTheme="minorHAnsi" w:hAnsi="Traditional Arabic" w:cs="Traditional Arabic"/>
          <w:b/>
          <w:bCs/>
          <w:color w:val="000000"/>
          <w:sz w:val="28"/>
          <w:szCs w:val="28"/>
          <w:rtl/>
          <w:lang w:eastAsia="en-US"/>
        </w:rPr>
      </w:pPr>
    </w:p>
    <w:p w:rsidR="00801886" w:rsidRDefault="00801886" w:rsidP="00801886">
      <w:pPr>
        <w:autoSpaceDE w:val="0"/>
        <w:autoSpaceDN w:val="0"/>
        <w:bidi/>
        <w:adjustRightInd w:val="0"/>
        <w:jc w:val="both"/>
        <w:rPr>
          <w:rFonts w:ascii="Traditional Arabic" w:eastAsiaTheme="minorHAnsi" w:hAnsi="Traditional Arabic" w:cs="Traditional Arabic"/>
          <w:b/>
          <w:bCs/>
          <w:color w:val="000000"/>
          <w:sz w:val="28"/>
          <w:szCs w:val="28"/>
          <w:rtl/>
          <w:lang w:eastAsia="en-US"/>
        </w:rPr>
      </w:pPr>
      <w:r>
        <w:rPr>
          <w:rFonts w:ascii="Traditional Arabic" w:eastAsiaTheme="minorHAnsi" w:hAnsi="Traditional Arabic" w:cs="Traditional Arabic" w:hint="cs"/>
          <w:b/>
          <w:bCs/>
          <w:color w:val="000000"/>
          <w:sz w:val="28"/>
          <w:szCs w:val="28"/>
          <w:rtl/>
          <w:lang w:eastAsia="en-US"/>
        </w:rPr>
        <w:t>هل المسخ المتوعد في هذا الحديث يقع في هذه الأمة؟</w:t>
      </w:r>
    </w:p>
    <w:p w:rsidR="00801886" w:rsidRPr="00801886" w:rsidRDefault="00801886" w:rsidP="00801886">
      <w:pPr>
        <w:suppressAutoHyphens w:val="0"/>
        <w:autoSpaceDE w:val="0"/>
        <w:autoSpaceDN w:val="0"/>
        <w:bidi/>
        <w:adjustRightInd w:val="0"/>
        <w:jc w:val="both"/>
        <w:rPr>
          <w:rFonts w:ascii="Traditional Arabic" w:eastAsiaTheme="minorHAnsi" w:hAnsi="Traditional Arabic" w:cs="Traditional Arabic"/>
          <w:color w:val="000000"/>
          <w:sz w:val="28"/>
          <w:szCs w:val="28"/>
          <w:rtl/>
          <w:lang w:eastAsia="en-US"/>
        </w:rPr>
      </w:pPr>
      <w:r w:rsidRPr="00A30EEF">
        <w:rPr>
          <w:rFonts w:ascii="Traditional Arabic" w:eastAsiaTheme="minorHAnsi" w:hAnsi="Traditional Arabic" w:cs="Traditional Arabic" w:hint="cs"/>
          <w:b/>
          <w:bCs/>
          <w:color w:val="000000"/>
          <w:sz w:val="28"/>
          <w:szCs w:val="28"/>
          <w:rtl/>
          <w:lang w:eastAsia="en-US"/>
        </w:rPr>
        <w:t>الجواب:</w:t>
      </w:r>
      <w:r w:rsidRPr="00A30EEF">
        <w:rPr>
          <w:rFonts w:ascii="Traditional Arabic" w:eastAsiaTheme="minorHAnsi" w:hAnsi="Traditional Arabic" w:cs="Traditional Arabic" w:hint="cs"/>
          <w:color w:val="000000"/>
          <w:sz w:val="28"/>
          <w:szCs w:val="28"/>
          <w:rtl/>
          <w:lang w:eastAsia="en-US"/>
        </w:rPr>
        <w:t xml:space="preserve"> </w:t>
      </w:r>
      <w:r w:rsidRPr="00A30EEF">
        <w:rPr>
          <w:rFonts w:ascii="Traditional Arabic" w:eastAsiaTheme="minorHAnsi" w:hAnsi="Traditional Arabic" w:cs="Traditional Arabic"/>
          <w:color w:val="000000"/>
          <w:sz w:val="28"/>
          <w:szCs w:val="28"/>
          <w:rtl/>
          <w:lang w:eastAsia="en-US"/>
        </w:rPr>
        <w:t>قيل هذا مجاز عن البلادة</w:t>
      </w:r>
      <w:r>
        <w:rPr>
          <w:rFonts w:ascii="Traditional Arabic" w:eastAsiaTheme="minorHAnsi" w:hAnsi="Traditional Arabic" w:cs="Traditional Arabic" w:hint="cs"/>
          <w:color w:val="000000"/>
          <w:sz w:val="28"/>
          <w:szCs w:val="28"/>
          <w:rtl/>
          <w:lang w:eastAsia="en-US"/>
        </w:rPr>
        <w:t>؛</w:t>
      </w:r>
      <w:r w:rsidRPr="00A30EEF">
        <w:rPr>
          <w:rFonts w:ascii="Traditional Arabic" w:eastAsiaTheme="minorHAnsi" w:hAnsi="Traditional Arabic" w:cs="Traditional Arabic"/>
          <w:color w:val="000000"/>
          <w:sz w:val="28"/>
          <w:szCs w:val="28"/>
          <w:rtl/>
          <w:lang w:eastAsia="en-US"/>
        </w:rPr>
        <w:t xml:space="preserve"> لأن المسخ لا يجوز في هذه الأمة</w:t>
      </w:r>
      <w:r>
        <w:rPr>
          <w:rFonts w:ascii="Traditional Arabic" w:eastAsiaTheme="minorHAnsi" w:hAnsi="Traditional Arabic" w:cs="Traditional Arabic" w:hint="cs"/>
          <w:color w:val="000000"/>
          <w:sz w:val="28"/>
          <w:szCs w:val="28"/>
          <w:rtl/>
          <w:lang w:eastAsia="en-US"/>
        </w:rPr>
        <w:t>.</w:t>
      </w:r>
      <w:r w:rsidRPr="00A30EEF">
        <w:rPr>
          <w:rFonts w:ascii="Traditional Arabic" w:eastAsiaTheme="minorHAnsi" w:hAnsi="Traditional Arabic" w:cs="Traditional Arabic"/>
          <w:color w:val="000000"/>
          <w:sz w:val="28"/>
          <w:szCs w:val="28"/>
          <w:rtl/>
          <w:lang w:eastAsia="en-US"/>
        </w:rPr>
        <w:t xml:space="preserve"> </w:t>
      </w:r>
      <w:r>
        <w:rPr>
          <w:rFonts w:ascii="Traditional Arabic" w:eastAsiaTheme="minorHAnsi" w:hAnsi="Traditional Arabic" w:cs="Traditional Arabic" w:hint="cs"/>
          <w:color w:val="000000"/>
          <w:sz w:val="28"/>
          <w:szCs w:val="28"/>
          <w:rtl/>
          <w:lang w:eastAsia="en-US"/>
        </w:rPr>
        <w:t>و</w:t>
      </w:r>
      <w:r w:rsidRPr="00A30EEF">
        <w:rPr>
          <w:rFonts w:ascii="Traditional Arabic" w:eastAsiaTheme="minorHAnsi" w:hAnsi="Traditional Arabic" w:cs="Traditional Arabic"/>
          <w:color w:val="000000"/>
          <w:sz w:val="28"/>
          <w:szCs w:val="28"/>
          <w:rtl/>
          <w:lang w:eastAsia="en-US"/>
        </w:rPr>
        <w:t>أن الحديث لا يدل على وقوع ذلك، وإنما يدل على كون فاعله متعرضا لذلك</w:t>
      </w:r>
      <w:r>
        <w:rPr>
          <w:rFonts w:ascii="Traditional Arabic" w:eastAsiaTheme="minorHAnsi" w:hAnsi="Traditional Arabic" w:cs="Traditional Arabic" w:hint="cs"/>
          <w:color w:val="000000"/>
          <w:sz w:val="28"/>
          <w:szCs w:val="28"/>
          <w:rtl/>
          <w:lang w:eastAsia="en-US"/>
        </w:rPr>
        <w:t>،</w:t>
      </w:r>
      <w:r w:rsidRPr="00A30EEF">
        <w:rPr>
          <w:rFonts w:ascii="Traditional Arabic" w:eastAsiaTheme="minorHAnsi" w:hAnsi="Traditional Arabic" w:cs="Traditional Arabic"/>
          <w:color w:val="000000"/>
          <w:sz w:val="28"/>
          <w:szCs w:val="28"/>
          <w:rtl/>
          <w:lang w:eastAsia="en-US"/>
        </w:rPr>
        <w:t xml:space="preserve"> </w:t>
      </w:r>
      <w:r>
        <w:rPr>
          <w:rFonts w:ascii="Traditional Arabic" w:eastAsiaTheme="minorHAnsi" w:hAnsi="Traditional Arabic" w:cs="Traditional Arabic" w:hint="cs"/>
          <w:color w:val="000000"/>
          <w:sz w:val="28"/>
          <w:szCs w:val="28"/>
          <w:rtl/>
          <w:lang w:eastAsia="en-US"/>
        </w:rPr>
        <w:t>قال ابن دقيق العيد: "</w:t>
      </w:r>
      <w:r w:rsidRPr="00801886">
        <w:rPr>
          <w:rFonts w:ascii="Traditional Arabic" w:eastAsiaTheme="minorHAnsi" w:hAnsi="Traditional Arabic" w:cs="Traditional Arabic"/>
          <w:color w:val="000000"/>
          <w:sz w:val="28"/>
          <w:szCs w:val="28"/>
          <w:rtl/>
          <w:lang w:eastAsia="en-US"/>
        </w:rPr>
        <w:t>ونحن قد بينا أن الحديث لا يدل على وقوع ذلك. وإنما يدل على كون فاعله متعرضا لذلك، وكون فعله صالحا لأن يقع</w:t>
      </w:r>
      <w:r>
        <w:rPr>
          <w:rFonts w:ascii="Traditional Arabic" w:eastAsiaTheme="minorHAnsi" w:hAnsi="Traditional Arabic" w:cs="Traditional Arabic" w:hint="cs"/>
          <w:color w:val="000000"/>
          <w:sz w:val="28"/>
          <w:szCs w:val="28"/>
          <w:rtl/>
          <w:lang w:eastAsia="en-US"/>
        </w:rPr>
        <w:t>"</w:t>
      </w:r>
      <w:r w:rsidRPr="009E21F6">
        <w:rPr>
          <w:rFonts w:asciiTheme="minorBidi" w:hAnsiTheme="minorBidi" w:cstheme="minorBidi"/>
          <w:b/>
          <w:bCs/>
          <w:sz w:val="28"/>
          <w:szCs w:val="28"/>
          <w:vertAlign w:val="superscript"/>
          <w:rtl/>
        </w:rPr>
        <w:t>(</w:t>
      </w:r>
      <w:r w:rsidRPr="009E21F6">
        <w:rPr>
          <w:rStyle w:val="FootnoteReference"/>
          <w:rFonts w:asciiTheme="minorBidi" w:hAnsiTheme="minorBidi" w:cstheme="minorBidi"/>
          <w:b/>
          <w:bCs/>
          <w:sz w:val="28"/>
          <w:szCs w:val="28"/>
          <w:rtl/>
        </w:rPr>
        <w:footnoteReference w:id="5"/>
      </w:r>
      <w:r w:rsidRPr="009E21F6">
        <w:rPr>
          <w:rFonts w:asciiTheme="minorBidi" w:hAnsiTheme="minorBidi" w:cstheme="minorBidi"/>
          <w:b/>
          <w:bCs/>
          <w:sz w:val="28"/>
          <w:szCs w:val="28"/>
          <w:vertAlign w:val="superscript"/>
          <w:rtl/>
        </w:rPr>
        <w:t>)</w:t>
      </w:r>
    </w:p>
    <w:p w:rsidR="00801886" w:rsidRDefault="00801886" w:rsidP="00801886">
      <w:pPr>
        <w:suppressAutoHyphens w:val="0"/>
        <w:autoSpaceDE w:val="0"/>
        <w:autoSpaceDN w:val="0"/>
        <w:bidi/>
        <w:adjustRightInd w:val="0"/>
        <w:jc w:val="left"/>
        <w:rPr>
          <w:rFonts w:ascii="Traditional Arabic" w:eastAsiaTheme="minorHAnsi" w:hAnsi="Traditional Arabic" w:cs="Traditional Arabic"/>
          <w:b/>
          <w:bCs/>
          <w:color w:val="000000"/>
          <w:sz w:val="28"/>
          <w:szCs w:val="28"/>
          <w:rtl/>
          <w:lang w:eastAsia="en-US"/>
        </w:rPr>
      </w:pPr>
    </w:p>
    <w:p w:rsidR="00801886" w:rsidRPr="004B679F" w:rsidRDefault="00801886" w:rsidP="00801886">
      <w:pPr>
        <w:autoSpaceDE w:val="0"/>
        <w:autoSpaceDN w:val="0"/>
        <w:bidi/>
        <w:adjustRightInd w:val="0"/>
        <w:jc w:val="both"/>
        <w:rPr>
          <w:rFonts w:ascii="Traditional Arabic" w:eastAsiaTheme="minorHAnsi" w:hAnsi="Traditional Arabic" w:cs="Traditional Arabic"/>
          <w:b/>
          <w:bCs/>
          <w:color w:val="000000"/>
          <w:sz w:val="28"/>
          <w:szCs w:val="28"/>
          <w:rtl/>
          <w:lang w:eastAsia="en-US"/>
        </w:rPr>
      </w:pPr>
      <w:r w:rsidRPr="004B679F">
        <w:rPr>
          <w:rFonts w:ascii="Traditional Arabic" w:eastAsiaTheme="minorHAnsi" w:hAnsi="Traditional Arabic" w:cs="Traditional Arabic" w:hint="cs"/>
          <w:b/>
          <w:bCs/>
          <w:color w:val="000000"/>
          <w:sz w:val="28"/>
          <w:szCs w:val="28"/>
          <w:rtl/>
          <w:lang w:eastAsia="en-US"/>
        </w:rPr>
        <w:t>حكم المخالفة</w:t>
      </w:r>
    </w:p>
    <w:p w:rsidR="00801886" w:rsidRPr="009E21F6" w:rsidRDefault="00801886" w:rsidP="00FD74E6">
      <w:pPr>
        <w:autoSpaceDE w:val="0"/>
        <w:autoSpaceDN w:val="0"/>
        <w:bidi/>
        <w:adjustRightInd w:val="0"/>
        <w:jc w:val="both"/>
      </w:pPr>
      <w:r>
        <w:rPr>
          <w:rFonts w:ascii="Traditional Arabic" w:eastAsiaTheme="minorHAnsi" w:hAnsi="Traditional Arabic" w:cs="Traditional Arabic" w:hint="cs"/>
          <w:color w:val="000000"/>
          <w:sz w:val="28"/>
          <w:szCs w:val="28"/>
          <w:rtl/>
          <w:lang w:eastAsia="en-US"/>
        </w:rPr>
        <w:t>هذا الحديث</w:t>
      </w:r>
      <w:r w:rsidRPr="004B679F">
        <w:rPr>
          <w:rFonts w:ascii="Traditional Arabic" w:eastAsiaTheme="minorHAnsi" w:hAnsi="Traditional Arabic" w:cs="Traditional Arabic"/>
          <w:color w:val="000000"/>
          <w:sz w:val="28"/>
          <w:szCs w:val="28"/>
          <w:rtl/>
          <w:lang w:eastAsia="en-US"/>
        </w:rPr>
        <w:t xml:space="preserve"> صريح عَلَى تحريم تعمد رفع المأموم رأسه قَبْلَ الإمام فِي ركوعه وسجوده</w:t>
      </w:r>
      <w:r>
        <w:rPr>
          <w:rFonts w:ascii="Traditional Arabic" w:eastAsiaTheme="minorHAnsi" w:hAnsi="Traditional Arabic" w:cs="Traditional Arabic" w:hint="cs"/>
          <w:color w:val="000000"/>
          <w:sz w:val="28"/>
          <w:szCs w:val="28"/>
          <w:rtl/>
          <w:lang w:eastAsia="en-US"/>
        </w:rPr>
        <w:t>،؛</w:t>
      </w:r>
      <w:r w:rsidRPr="004B679F">
        <w:rPr>
          <w:rFonts w:ascii="Traditional Arabic" w:eastAsiaTheme="minorHAnsi" w:hAnsi="Traditional Arabic" w:cs="Traditional Arabic"/>
          <w:color w:val="000000"/>
          <w:sz w:val="28"/>
          <w:szCs w:val="28"/>
          <w:rtl/>
          <w:lang w:eastAsia="en-US"/>
        </w:rPr>
        <w:t xml:space="preserve"> فإنه توعد عَلِيهِ بالمسخ، وَهُوَ من أشد العقوبات</w:t>
      </w:r>
      <w:r>
        <w:rPr>
          <w:rFonts w:ascii="Traditional Arabic" w:eastAsiaTheme="minorHAnsi" w:hAnsi="Traditional Arabic" w:cs="Traditional Arabic" w:hint="cs"/>
          <w:color w:val="000000"/>
          <w:sz w:val="28"/>
          <w:szCs w:val="28"/>
          <w:rtl/>
          <w:lang w:eastAsia="en-US"/>
        </w:rPr>
        <w:t>،</w:t>
      </w:r>
      <w:r>
        <w:rPr>
          <w:rFonts w:ascii="Traditional Arabic" w:hAnsi="Traditional Arabic" w:cs="Traditional Arabic" w:hint="cs"/>
          <w:sz w:val="10"/>
          <w:szCs w:val="10"/>
          <w:rtl/>
        </w:rPr>
        <w:t xml:space="preserve"> </w:t>
      </w:r>
      <w:r w:rsidRPr="004B679F">
        <w:rPr>
          <w:rFonts w:ascii="Traditional Arabic" w:eastAsiaTheme="minorHAnsi" w:hAnsi="Traditional Arabic" w:cs="Traditional Arabic"/>
          <w:color w:val="000000"/>
          <w:sz w:val="28"/>
          <w:szCs w:val="28"/>
          <w:rtl/>
          <w:lang w:eastAsia="en-US"/>
        </w:rPr>
        <w:t>ومن خالف الإمام، فقد خالف سنة المأموم</w:t>
      </w:r>
      <w:r>
        <w:rPr>
          <w:rFonts w:ascii="Traditional Arabic" w:eastAsiaTheme="minorHAnsi" w:hAnsi="Traditional Arabic" w:cs="Traditional Arabic" w:hint="cs"/>
          <w:color w:val="000000"/>
          <w:sz w:val="28"/>
          <w:szCs w:val="28"/>
          <w:rtl/>
          <w:lang w:eastAsia="en-US"/>
        </w:rPr>
        <w:t xml:space="preserve">، </w:t>
      </w:r>
      <w:r w:rsidRPr="004B679F">
        <w:rPr>
          <w:rFonts w:ascii="Traditional Arabic" w:eastAsiaTheme="minorHAnsi" w:hAnsi="Traditional Arabic" w:cs="Traditional Arabic"/>
          <w:color w:val="000000"/>
          <w:sz w:val="28"/>
          <w:szCs w:val="28"/>
          <w:rtl/>
          <w:lang w:eastAsia="en-US"/>
        </w:rPr>
        <w:t>وأجزأته صلاته عند جمهور</w:t>
      </w:r>
      <w:r w:rsidR="00FD74E6" w:rsidRPr="00FD74E6">
        <w:rPr>
          <w:rFonts w:ascii="Traditional Arabic" w:eastAsiaTheme="minorHAnsi" w:hAnsi="Traditional Arabic" w:cs="Traditional Arabic"/>
          <w:color w:val="000000"/>
          <w:sz w:val="28"/>
          <w:szCs w:val="28"/>
          <w:rtl/>
          <w:lang w:eastAsia="en-US"/>
        </w:rPr>
        <w:t xml:space="preserve"> </w:t>
      </w:r>
      <w:r w:rsidR="00FD74E6" w:rsidRPr="004B679F">
        <w:rPr>
          <w:rFonts w:ascii="Traditional Arabic" w:eastAsiaTheme="minorHAnsi" w:hAnsi="Traditional Arabic" w:cs="Traditional Arabic"/>
          <w:color w:val="000000"/>
          <w:sz w:val="28"/>
          <w:szCs w:val="28"/>
          <w:rtl/>
          <w:lang w:eastAsia="en-US"/>
        </w:rPr>
        <w:t>العلماء</w:t>
      </w:r>
      <w:r w:rsidR="00925409">
        <w:rPr>
          <w:rFonts w:ascii="Traditional Arabic" w:eastAsiaTheme="minorHAnsi" w:hAnsi="Traditional Arabic" w:cs="Traditional Arabic" w:hint="cs"/>
          <w:color w:val="000000"/>
          <w:sz w:val="28"/>
          <w:szCs w:val="28"/>
          <w:rtl/>
          <w:lang w:eastAsia="en-US"/>
        </w:rPr>
        <w:t>؛</w:t>
      </w:r>
      <w:r w:rsidRPr="004B679F">
        <w:rPr>
          <w:rFonts w:ascii="Traditional Arabic" w:eastAsiaTheme="minorHAnsi" w:hAnsi="Traditional Arabic" w:cs="Traditional Arabic"/>
          <w:color w:val="000000"/>
          <w:sz w:val="28"/>
          <w:szCs w:val="28"/>
          <w:rtl/>
          <w:lang w:eastAsia="en-US"/>
        </w:rPr>
        <w:t xml:space="preserve"> </w:t>
      </w:r>
      <w:r w:rsidR="00925409" w:rsidRPr="00925409">
        <w:rPr>
          <w:rFonts w:ascii="Traditional Arabic" w:eastAsiaTheme="minorHAnsi" w:hAnsi="Traditional Arabic" w:cs="Traditional Arabic"/>
          <w:color w:val="000000"/>
          <w:sz w:val="28"/>
          <w:szCs w:val="28"/>
          <w:rtl/>
          <w:lang w:eastAsia="en-US"/>
        </w:rPr>
        <w:t>لأن النبى، عليه السلام، لم يقل إن من فعل ذلك فصلاته فاسدة</w:t>
      </w:r>
      <w:r w:rsidR="00925409" w:rsidRPr="00925409">
        <w:rPr>
          <w:rFonts w:ascii="Traditional Arabic" w:eastAsiaTheme="minorHAnsi" w:hAnsi="Traditional Arabic" w:cs="Traditional Arabic" w:hint="cs"/>
          <w:color w:val="000000"/>
          <w:sz w:val="28"/>
          <w:szCs w:val="28"/>
          <w:rtl/>
          <w:lang w:eastAsia="en-US"/>
        </w:rPr>
        <w:t xml:space="preserve"> </w:t>
      </w:r>
      <w:r w:rsidRPr="00F50D8F">
        <w:rPr>
          <w:rFonts w:ascii="Traditional Arabic" w:eastAsiaTheme="minorHAnsi" w:hAnsi="Traditional Arabic" w:cs="Traditional Arabic" w:hint="cs"/>
          <w:b/>
          <w:bCs/>
          <w:color w:val="000000"/>
          <w:sz w:val="28"/>
          <w:szCs w:val="28"/>
          <w:vertAlign w:val="superscript"/>
          <w:rtl/>
          <w:lang w:eastAsia="en-US"/>
        </w:rPr>
        <w:t>(</w:t>
      </w:r>
      <w:r w:rsidRPr="00F50D8F">
        <w:rPr>
          <w:rFonts w:ascii="Traditional Arabic" w:eastAsiaTheme="minorHAnsi" w:hAnsi="Traditional Arabic" w:cs="Traditional Arabic"/>
          <w:b/>
          <w:bCs/>
          <w:color w:val="000000"/>
          <w:sz w:val="28"/>
          <w:szCs w:val="28"/>
          <w:vertAlign w:val="superscript"/>
          <w:rtl/>
          <w:lang w:eastAsia="en-US"/>
        </w:rPr>
        <w:footnoteReference w:id="6"/>
      </w:r>
      <w:r w:rsidRPr="00F50D8F">
        <w:rPr>
          <w:rFonts w:ascii="Traditional Arabic" w:eastAsiaTheme="minorHAnsi" w:hAnsi="Traditional Arabic" w:cs="Traditional Arabic" w:hint="cs"/>
          <w:b/>
          <w:bCs/>
          <w:color w:val="000000"/>
          <w:sz w:val="28"/>
          <w:szCs w:val="28"/>
          <w:vertAlign w:val="superscript"/>
          <w:rtl/>
          <w:lang w:eastAsia="en-US"/>
        </w:rPr>
        <w:t>)</w:t>
      </w:r>
      <w:r>
        <w:rPr>
          <w:rFonts w:ascii="Traditional Arabic" w:eastAsiaTheme="minorHAnsi" w:hAnsi="Traditional Arabic" w:cs="Traditional Arabic" w:hint="cs"/>
          <w:color w:val="000000"/>
          <w:sz w:val="28"/>
          <w:szCs w:val="28"/>
          <w:rtl/>
          <w:lang w:eastAsia="en-US"/>
        </w:rPr>
        <w:t>.  قال ابن دقيق العيد: "</w:t>
      </w:r>
      <w:r w:rsidRPr="006C5F9A">
        <w:rPr>
          <w:rFonts w:ascii="Traditional Arabic" w:eastAsiaTheme="minorHAnsi" w:hAnsi="Traditional Arabic" w:cs="Traditional Arabic"/>
          <w:color w:val="000000"/>
          <w:sz w:val="28"/>
          <w:szCs w:val="28"/>
          <w:rtl/>
          <w:lang w:eastAsia="en-US"/>
        </w:rPr>
        <w:t>الحديث دليل على منع تقدم المأموم على الإمام في الرفع. هذا منصوصه، في الرفع من الركوع والسجود. ووجه الدليل: التوعد على الفعل. ولا يكون التوعد إلا عن ممنوع ويقاس عليه: السبق في الخفض، كالهوي إلى الركوع والسجود.</w:t>
      </w:r>
      <w:r w:rsidRPr="006C5F9A">
        <w:rPr>
          <w:rFonts w:ascii="Traditional Arabic" w:hAnsi="Traditional Arabic" w:cs="Traditional Arabic" w:hint="cs"/>
          <w:sz w:val="28"/>
          <w:szCs w:val="28"/>
          <w:rtl/>
        </w:rPr>
        <w:t xml:space="preserve"> </w:t>
      </w:r>
      <w:r w:rsidRPr="009E21F6">
        <w:rPr>
          <w:rFonts w:asciiTheme="minorBidi" w:hAnsiTheme="minorBidi" w:cstheme="minorBidi"/>
          <w:sz w:val="28"/>
          <w:szCs w:val="28"/>
          <w:rtl/>
        </w:rPr>
        <w:t xml:space="preserve"> </w:t>
      </w:r>
      <w:r w:rsidRPr="00925409">
        <w:rPr>
          <w:rFonts w:asciiTheme="minorBidi" w:hAnsiTheme="minorBidi" w:cstheme="minorBidi" w:hint="cs"/>
          <w:sz w:val="28"/>
          <w:szCs w:val="28"/>
          <w:vertAlign w:val="superscript"/>
          <w:rtl/>
        </w:rPr>
        <w:t>(</w:t>
      </w:r>
      <w:r w:rsidRPr="00925409">
        <w:rPr>
          <w:rFonts w:asciiTheme="minorBidi" w:hAnsiTheme="minorBidi" w:cstheme="minorBidi"/>
          <w:b/>
          <w:bCs/>
          <w:vertAlign w:val="superscript"/>
          <w:rtl/>
        </w:rPr>
        <w:footnoteReference w:id="7"/>
      </w:r>
      <w:r w:rsidRPr="00925409">
        <w:rPr>
          <w:rFonts w:asciiTheme="minorBidi" w:hAnsiTheme="minorBidi" w:cstheme="minorBidi" w:hint="cs"/>
          <w:sz w:val="28"/>
          <w:szCs w:val="28"/>
          <w:vertAlign w:val="superscript"/>
          <w:rtl/>
        </w:rPr>
        <w:t>)</w:t>
      </w:r>
    </w:p>
    <w:p w:rsidR="00FE65BA" w:rsidRDefault="00F75C71" w:rsidP="00F50D8F">
      <w:pPr>
        <w:jc w:val="right"/>
      </w:pPr>
    </w:p>
    <w:p w:rsidR="00F50D8F" w:rsidRDefault="00F50D8F" w:rsidP="00F50D8F">
      <w:pPr>
        <w:jc w:val="right"/>
      </w:pPr>
    </w:p>
    <w:p w:rsidR="00F50D8F" w:rsidRDefault="00F50D8F" w:rsidP="00F50D8F">
      <w:pPr>
        <w:jc w:val="right"/>
      </w:pPr>
    </w:p>
    <w:p w:rsidR="00F50D8F" w:rsidRDefault="00F50D8F" w:rsidP="00F50D8F">
      <w:pPr>
        <w:jc w:val="right"/>
      </w:pPr>
    </w:p>
    <w:p w:rsidR="00F50D8F" w:rsidRDefault="00F50D8F" w:rsidP="00F50D8F">
      <w:pPr>
        <w:jc w:val="right"/>
        <w:rPr>
          <w:sz w:val="32"/>
          <w:szCs w:val="32"/>
          <w:rtl/>
        </w:rPr>
      </w:pPr>
      <w:r>
        <w:rPr>
          <w:rFonts w:hint="cs"/>
          <w:sz w:val="32"/>
          <w:szCs w:val="32"/>
          <w:rtl/>
        </w:rPr>
        <w:t>المراجع والمصادر</w:t>
      </w:r>
    </w:p>
    <w:p w:rsidR="007F3574" w:rsidRPr="007F3574" w:rsidRDefault="00F50D8F" w:rsidP="007F3574">
      <w:pPr>
        <w:pStyle w:val="ListParagraph"/>
        <w:numPr>
          <w:ilvl w:val="0"/>
          <w:numId w:val="2"/>
        </w:numPr>
        <w:autoSpaceDE w:val="0"/>
        <w:autoSpaceDN w:val="0"/>
        <w:adjustRightInd w:val="0"/>
        <w:spacing w:after="0" w:line="240" w:lineRule="auto"/>
        <w:ind w:right="578"/>
        <w:jc w:val="both"/>
        <w:rPr>
          <w:rFonts w:ascii="Traditional Arabic" w:hAnsi="Traditional Arabic" w:cs="Traditional Arabic"/>
          <w:sz w:val="24"/>
          <w:szCs w:val="24"/>
        </w:rPr>
      </w:pPr>
      <w:r w:rsidRPr="007F3574">
        <w:rPr>
          <w:rFonts w:ascii="Traditional Arabic" w:hAnsi="Traditional Arabic" w:cs="Traditional Arabic"/>
          <w:b/>
          <w:bCs/>
          <w:sz w:val="24"/>
          <w:szCs w:val="24"/>
          <w:rtl/>
        </w:rPr>
        <w:t xml:space="preserve">البخاري، </w:t>
      </w:r>
      <w:r w:rsidRPr="007F3574">
        <w:rPr>
          <w:rFonts w:ascii="Traditional Arabic" w:hAnsi="Traditional Arabic" w:cs="Traditional Arabic"/>
          <w:sz w:val="24"/>
          <w:szCs w:val="24"/>
          <w:rtl/>
        </w:rPr>
        <w:t xml:space="preserve">محمد بن إسماعيل بن إبراهيم أبو عبدالله البخاري الجعفي(المتوفي:256هـــــ). </w:t>
      </w:r>
      <w:r w:rsidRPr="007F3574">
        <w:rPr>
          <w:rFonts w:ascii="Traditional Arabic" w:hAnsi="Traditional Arabic" w:cs="Traditional Arabic" w:hint="cs"/>
          <w:b/>
          <w:bCs/>
          <w:sz w:val="24"/>
          <w:szCs w:val="24"/>
          <w:rtl/>
        </w:rPr>
        <w:t>صحيح البخاري</w:t>
      </w:r>
      <w:r w:rsidRPr="007F3574">
        <w:rPr>
          <w:rFonts w:ascii="Traditional Arabic" w:hAnsi="Traditional Arabic" w:cs="Traditional Arabic" w:hint="cs"/>
          <w:sz w:val="24"/>
          <w:szCs w:val="24"/>
          <w:rtl/>
        </w:rPr>
        <w:t>،</w:t>
      </w:r>
      <w:r w:rsidRPr="007F3574">
        <w:rPr>
          <w:rFonts w:ascii="Traditional Arabic" w:hAnsi="Traditional Arabic" w:cs="Traditional Arabic"/>
          <w:sz w:val="24"/>
          <w:szCs w:val="24"/>
          <w:rtl/>
        </w:rPr>
        <w:t xml:space="preserve"> تحقيق محب الدين الخطيب، الناشر: المطبعة السلفية- ومكتبتها – القاهرة – مصر، الطعبة: الأولى 1400هــــ، عدد المجلدات: 4 . </w:t>
      </w:r>
    </w:p>
    <w:p w:rsidR="007F3574" w:rsidRPr="007F3574" w:rsidRDefault="00F50D8F" w:rsidP="007F3574">
      <w:pPr>
        <w:pStyle w:val="ListParagraph"/>
        <w:numPr>
          <w:ilvl w:val="0"/>
          <w:numId w:val="2"/>
        </w:numPr>
        <w:autoSpaceDE w:val="0"/>
        <w:autoSpaceDN w:val="0"/>
        <w:adjustRightInd w:val="0"/>
        <w:spacing w:after="0" w:line="240" w:lineRule="auto"/>
        <w:ind w:right="578"/>
        <w:jc w:val="both"/>
        <w:rPr>
          <w:rFonts w:ascii="Traditional Arabic" w:hAnsi="Traditional Arabic" w:cs="Traditional Arabic"/>
          <w:sz w:val="24"/>
          <w:szCs w:val="24"/>
        </w:rPr>
      </w:pPr>
      <w:r w:rsidRPr="007F3574">
        <w:rPr>
          <w:rFonts w:ascii="Traditional Arabic" w:hAnsi="Traditional Arabic" w:cs="Traditional Arabic" w:hint="cs"/>
          <w:b/>
          <w:bCs/>
          <w:sz w:val="24"/>
          <w:szCs w:val="24"/>
          <w:rtl/>
        </w:rPr>
        <w:t>ابن حجر</w:t>
      </w:r>
      <w:r w:rsidRPr="007F3574">
        <w:rPr>
          <w:rFonts w:ascii="Traditional Arabic" w:hAnsi="Traditional Arabic" w:cs="Traditional Arabic" w:hint="cs"/>
          <w:sz w:val="24"/>
          <w:szCs w:val="24"/>
          <w:rtl/>
        </w:rPr>
        <w:t xml:space="preserve"> </w:t>
      </w:r>
      <w:r w:rsidRPr="007F3574">
        <w:rPr>
          <w:rFonts w:ascii="Traditional Arabic" w:hAnsi="Traditional Arabic" w:cs="Traditional Arabic"/>
          <w:sz w:val="24"/>
          <w:szCs w:val="24"/>
          <w:rtl/>
        </w:rPr>
        <w:t xml:space="preserve"> </w:t>
      </w:r>
      <w:r w:rsidRPr="007F3574">
        <w:rPr>
          <w:rFonts w:ascii="Traditional Arabic" w:hAnsi="Traditional Arabic" w:cs="Traditional Arabic"/>
          <w:color w:val="000000"/>
          <w:sz w:val="24"/>
          <w:szCs w:val="24"/>
          <w:rtl/>
        </w:rPr>
        <w:t xml:space="preserve">أحمد بن علي بن محمد بن حجر (المتوفى: 852هـ) </w:t>
      </w:r>
      <w:r w:rsidRPr="007F3574">
        <w:rPr>
          <w:rFonts w:ascii="Traditional Arabic" w:hAnsi="Traditional Arabic" w:cs="Traditional Arabic"/>
          <w:b/>
          <w:bCs/>
          <w:color w:val="000000"/>
          <w:sz w:val="24"/>
          <w:szCs w:val="24"/>
          <w:rtl/>
        </w:rPr>
        <w:t xml:space="preserve">فتح الباري </w:t>
      </w:r>
      <w:r w:rsidRPr="007F3574">
        <w:rPr>
          <w:rFonts w:ascii="Traditional Arabic" w:hAnsi="Traditional Arabic" w:cs="Traditional Arabic" w:hint="cs"/>
          <w:b/>
          <w:bCs/>
          <w:color w:val="000000"/>
          <w:sz w:val="24"/>
          <w:szCs w:val="24"/>
          <w:rtl/>
        </w:rPr>
        <w:t>بشرح صحيح البخاري</w:t>
      </w:r>
      <w:r w:rsidRPr="007F3574">
        <w:rPr>
          <w:rFonts w:ascii="Traditional Arabic" w:hAnsi="Traditional Arabic" w:cs="Traditional Arabic"/>
          <w:color w:val="000000"/>
          <w:sz w:val="24"/>
          <w:szCs w:val="24"/>
          <w:rtl/>
        </w:rPr>
        <w:t>، الناشر: دار طيبة – الرياض – المملكة العربية السعودية،  الطبعة الأولى 1426هـ</w:t>
      </w:r>
      <w:r w:rsidRPr="007F3574">
        <w:rPr>
          <w:rFonts w:ascii="Traditional Arabic" w:hAnsi="Traditional Arabic" w:cs="Traditional Arabic" w:hint="cs"/>
          <w:color w:val="000000"/>
          <w:sz w:val="24"/>
          <w:szCs w:val="24"/>
          <w:rtl/>
        </w:rPr>
        <w:t xml:space="preserve">، </w:t>
      </w:r>
      <w:r w:rsidRPr="007F3574">
        <w:rPr>
          <w:rFonts w:ascii="Traditional Arabic" w:hAnsi="Traditional Arabic" w:cs="Traditional Arabic"/>
          <w:color w:val="000000"/>
          <w:sz w:val="24"/>
          <w:szCs w:val="24"/>
          <w:rtl/>
        </w:rPr>
        <w:t xml:space="preserve">بترقم: محمد فؤاد عبد الباقي، وعليه تعليقات العلامة: عبد العزيز بن عبد الله بن باز والشيخ عبد الرحمن بن ناصر البراك، عدد </w:t>
      </w:r>
      <w:r w:rsidRPr="007F3574">
        <w:rPr>
          <w:rFonts w:ascii="Traditional Arabic" w:hAnsi="Traditional Arabic" w:cs="Traditional Arabic" w:hint="cs"/>
          <w:color w:val="000000"/>
          <w:sz w:val="24"/>
          <w:szCs w:val="24"/>
          <w:rtl/>
        </w:rPr>
        <w:t>ا</w:t>
      </w:r>
      <w:r w:rsidRPr="007F3574">
        <w:rPr>
          <w:rFonts w:ascii="Traditional Arabic" w:hAnsi="Traditional Arabic" w:cs="Traditional Arabic"/>
          <w:color w:val="000000"/>
          <w:sz w:val="24"/>
          <w:szCs w:val="24"/>
          <w:rtl/>
        </w:rPr>
        <w:t>لأجزاء</w:t>
      </w:r>
      <w:r w:rsidRPr="007F3574">
        <w:rPr>
          <w:rFonts w:ascii="Traditional Arabic" w:hAnsi="Traditional Arabic" w:cs="Traditional Arabic" w:hint="cs"/>
          <w:color w:val="000000"/>
          <w:sz w:val="24"/>
          <w:szCs w:val="24"/>
          <w:rtl/>
        </w:rPr>
        <w:t>: 17.</w:t>
      </w:r>
    </w:p>
    <w:p w:rsidR="007F3574" w:rsidRPr="007F3574" w:rsidRDefault="007F3574" w:rsidP="007F3574">
      <w:pPr>
        <w:pStyle w:val="ListParagraph"/>
        <w:numPr>
          <w:ilvl w:val="0"/>
          <w:numId w:val="2"/>
        </w:numPr>
        <w:autoSpaceDE w:val="0"/>
        <w:autoSpaceDN w:val="0"/>
        <w:adjustRightInd w:val="0"/>
        <w:spacing w:after="0" w:line="240" w:lineRule="auto"/>
        <w:ind w:right="578"/>
        <w:jc w:val="both"/>
        <w:rPr>
          <w:sz w:val="24"/>
          <w:szCs w:val="24"/>
        </w:rPr>
      </w:pPr>
      <w:r w:rsidRPr="007F3574">
        <w:rPr>
          <w:rFonts w:ascii="Traditional Arabic" w:hAnsi="Traditional Arabic" w:cs="Traditional Arabic"/>
          <w:b/>
          <w:bCs/>
          <w:sz w:val="24"/>
          <w:szCs w:val="24"/>
          <w:rtl/>
        </w:rPr>
        <w:t>ابن دقيق العيد،</w:t>
      </w:r>
      <w:r w:rsidRPr="007F3574">
        <w:rPr>
          <w:rFonts w:ascii="Traditional Arabic" w:hAnsi="Traditional Arabic" w:cs="Traditional Arabic"/>
          <w:sz w:val="24"/>
          <w:szCs w:val="24"/>
          <w:rtl/>
        </w:rPr>
        <w:t xml:space="preserve"> أبو الفتح محمد بن علي بن وهب القشيري </w:t>
      </w:r>
      <w:r w:rsidRPr="007F3574">
        <w:rPr>
          <w:rFonts w:ascii="Traditional Arabic" w:hAnsi="Traditional Arabic" w:cs="Traditional Arabic" w:hint="cs"/>
          <w:sz w:val="24"/>
          <w:szCs w:val="24"/>
          <w:rtl/>
        </w:rPr>
        <w:t>(المتوفي: 702هــ)</w:t>
      </w:r>
      <w:r w:rsidRPr="007F3574">
        <w:rPr>
          <w:rFonts w:ascii="Traditional Arabic" w:hAnsi="Traditional Arabic" w:cs="Traditional Arabic"/>
          <w:sz w:val="24"/>
          <w:szCs w:val="24"/>
          <w:rtl/>
        </w:rPr>
        <w:t xml:space="preserve">، </w:t>
      </w:r>
      <w:r w:rsidRPr="007F3574">
        <w:rPr>
          <w:rFonts w:ascii="Traditional Arabic" w:hAnsi="Traditional Arabic" w:cs="Traditional Arabic"/>
          <w:b/>
          <w:bCs/>
          <w:sz w:val="24"/>
          <w:szCs w:val="24"/>
          <w:rtl/>
        </w:rPr>
        <w:t>إحكام الأحكام بشرح عمدة الأحكام</w:t>
      </w:r>
      <w:r w:rsidRPr="007F3574">
        <w:rPr>
          <w:rFonts w:ascii="Traditional Arabic" w:hAnsi="Traditional Arabic" w:cs="Traditional Arabic" w:hint="cs"/>
          <w:sz w:val="24"/>
          <w:szCs w:val="24"/>
          <w:rtl/>
        </w:rPr>
        <w:t>،</w:t>
      </w:r>
      <w:r w:rsidRPr="007F3574">
        <w:rPr>
          <w:rFonts w:ascii="Traditional Arabic" w:hAnsi="Traditional Arabic" w:cs="Traditional Arabic"/>
          <w:sz w:val="24"/>
          <w:szCs w:val="24"/>
          <w:rtl/>
        </w:rPr>
        <w:t xml:space="preserve"> تحقيق : أحمد الشاكر ، الناشر : مكتبة السنة – القاهر – مصر ، الطبعة : الطبعة الأولى :1414، عدد المجلدات : 1</w:t>
      </w:r>
      <w:r w:rsidRPr="007F3574">
        <w:rPr>
          <w:rFonts w:ascii="Traditional Arabic" w:hAnsi="Traditional Arabic" w:cs="Traditional Arabic" w:hint="cs"/>
          <w:sz w:val="24"/>
          <w:szCs w:val="24"/>
          <w:rtl/>
        </w:rPr>
        <w:t>.</w:t>
      </w:r>
    </w:p>
    <w:p w:rsidR="007F3574" w:rsidRPr="007F3574" w:rsidRDefault="007F3574" w:rsidP="007F3574">
      <w:pPr>
        <w:pStyle w:val="ListParagraph"/>
        <w:numPr>
          <w:ilvl w:val="0"/>
          <w:numId w:val="2"/>
        </w:numPr>
        <w:autoSpaceDE w:val="0"/>
        <w:autoSpaceDN w:val="0"/>
        <w:adjustRightInd w:val="0"/>
        <w:spacing w:after="0" w:line="240" w:lineRule="auto"/>
        <w:ind w:right="578"/>
        <w:jc w:val="both"/>
        <w:rPr>
          <w:sz w:val="24"/>
          <w:szCs w:val="24"/>
        </w:rPr>
      </w:pPr>
      <w:r w:rsidRPr="007F3574">
        <w:rPr>
          <w:rFonts w:ascii="Traditional Arabic" w:hAnsi="Traditional Arabic" w:cs="Traditional Arabic" w:hint="cs"/>
          <w:b/>
          <w:bCs/>
          <w:sz w:val="24"/>
          <w:szCs w:val="24"/>
          <w:rtl/>
        </w:rPr>
        <w:t>ابن رجب الحنبلي،</w:t>
      </w:r>
      <w:r w:rsidRPr="007F3574">
        <w:rPr>
          <w:rFonts w:ascii="Traditional Arabic" w:hAnsi="Traditional Arabic" w:cs="Traditional Arabic" w:hint="cs"/>
          <w:sz w:val="24"/>
          <w:szCs w:val="24"/>
          <w:rtl/>
        </w:rPr>
        <w:t xml:space="preserve"> </w:t>
      </w:r>
      <w:r w:rsidRPr="007F3574">
        <w:rPr>
          <w:rFonts w:ascii="Traditional Arabic" w:hAnsi="Traditional Arabic" w:cs="Traditional Arabic"/>
          <w:sz w:val="24"/>
          <w:szCs w:val="24"/>
          <w:rtl/>
        </w:rPr>
        <w:t>عبد الرحمن بن أحمد بن رجب، الحنبلي (المتوفى: 795هـ)</w:t>
      </w:r>
      <w:r w:rsidRPr="007F3574">
        <w:rPr>
          <w:rFonts w:ascii="Traditional Arabic" w:hAnsi="Traditional Arabic" w:cs="Traditional Arabic" w:hint="cs"/>
          <w:b/>
          <w:bCs/>
          <w:sz w:val="24"/>
          <w:szCs w:val="24"/>
          <w:rtl/>
        </w:rPr>
        <w:t xml:space="preserve"> </w:t>
      </w:r>
      <w:r w:rsidRPr="007F3574">
        <w:rPr>
          <w:rFonts w:ascii="Traditional Arabic" w:hAnsi="Traditional Arabic" w:cs="Traditional Arabic"/>
          <w:b/>
          <w:bCs/>
          <w:sz w:val="24"/>
          <w:szCs w:val="24"/>
          <w:rtl/>
        </w:rPr>
        <w:t xml:space="preserve">فتح الباري </w:t>
      </w:r>
      <w:r w:rsidRPr="007F3574">
        <w:rPr>
          <w:rFonts w:ascii="Traditional Arabic" w:hAnsi="Traditional Arabic" w:cs="Traditional Arabic" w:hint="cs"/>
          <w:b/>
          <w:bCs/>
          <w:sz w:val="24"/>
          <w:szCs w:val="24"/>
          <w:rtl/>
        </w:rPr>
        <w:t>شرح صحيح البخاري</w:t>
      </w:r>
      <w:r w:rsidRPr="007F3574">
        <w:rPr>
          <w:rFonts w:ascii="Traditional Arabic" w:hAnsi="Traditional Arabic" w:cs="Traditional Arabic" w:hint="cs"/>
          <w:sz w:val="24"/>
          <w:szCs w:val="24"/>
          <w:rtl/>
        </w:rPr>
        <w:t xml:space="preserve">، </w:t>
      </w:r>
      <w:r w:rsidRPr="007F3574">
        <w:rPr>
          <w:rFonts w:ascii="Traditional Arabic" w:hAnsi="Traditional Arabic" w:cs="Traditional Arabic"/>
          <w:sz w:val="24"/>
          <w:szCs w:val="24"/>
          <w:rtl/>
        </w:rPr>
        <w:t>تحقيق</w:t>
      </w:r>
      <w:r w:rsidRPr="007F3574">
        <w:rPr>
          <w:rFonts w:ascii="Traditional Arabic" w:hAnsi="Traditional Arabic" w:cs="Traditional Arabic" w:hint="cs"/>
          <w:sz w:val="24"/>
          <w:szCs w:val="24"/>
          <w:rtl/>
        </w:rPr>
        <w:t>:</w:t>
      </w:r>
      <w:r w:rsidRPr="007F3574">
        <w:rPr>
          <w:rFonts w:ascii="Traditional Arabic" w:hAnsi="Traditional Arabic" w:cs="Traditional Arabic"/>
          <w:sz w:val="24"/>
          <w:szCs w:val="24"/>
          <w:rtl/>
        </w:rPr>
        <w:t xml:space="preserve"> محمود بن شعبان بن عبد المقصود</w:t>
      </w:r>
      <w:r w:rsidRPr="007F3574">
        <w:rPr>
          <w:rFonts w:ascii="Traditional Arabic" w:hAnsi="Traditional Arabic" w:cs="Traditional Arabic" w:hint="cs"/>
          <w:sz w:val="24"/>
          <w:szCs w:val="24"/>
          <w:rtl/>
        </w:rPr>
        <w:t xml:space="preserve">، </w:t>
      </w:r>
      <w:r w:rsidRPr="007F3574">
        <w:rPr>
          <w:rFonts w:ascii="Traditional Arabic" w:hAnsi="Traditional Arabic" w:cs="Traditional Arabic"/>
          <w:sz w:val="24"/>
          <w:szCs w:val="24"/>
          <w:rtl/>
        </w:rPr>
        <w:t>مجدي بن عبد الخالق الشافعي</w:t>
      </w:r>
      <w:r w:rsidRPr="007F3574">
        <w:rPr>
          <w:rFonts w:ascii="Traditional Arabic" w:hAnsi="Traditional Arabic" w:cs="Traditional Arabic" w:hint="cs"/>
          <w:sz w:val="24"/>
          <w:szCs w:val="24"/>
          <w:rtl/>
        </w:rPr>
        <w:t xml:space="preserve">، </w:t>
      </w:r>
      <w:r w:rsidRPr="007F3574">
        <w:rPr>
          <w:rFonts w:ascii="Traditional Arabic" w:hAnsi="Traditional Arabic" w:cs="Traditional Arabic"/>
          <w:sz w:val="24"/>
          <w:szCs w:val="24"/>
          <w:rtl/>
        </w:rPr>
        <w:t>إبراهيم بن إسماعيل القاضي</w:t>
      </w:r>
      <w:r w:rsidRPr="007F3574">
        <w:rPr>
          <w:rFonts w:ascii="Traditional Arabic" w:hAnsi="Traditional Arabic" w:cs="Traditional Arabic" w:hint="cs"/>
          <w:sz w:val="24"/>
          <w:szCs w:val="24"/>
          <w:rtl/>
        </w:rPr>
        <w:t xml:space="preserve">، </w:t>
      </w:r>
      <w:r w:rsidRPr="007F3574">
        <w:rPr>
          <w:rFonts w:ascii="Traditional Arabic" w:hAnsi="Traditional Arabic" w:cs="Traditional Arabic"/>
          <w:sz w:val="24"/>
          <w:szCs w:val="24"/>
          <w:rtl/>
        </w:rPr>
        <w:t>السيد عزت المرسي</w:t>
      </w:r>
      <w:r w:rsidRPr="007F3574">
        <w:rPr>
          <w:rFonts w:ascii="Traditional Arabic" w:hAnsi="Traditional Arabic" w:cs="Traditional Arabic" w:hint="cs"/>
          <w:sz w:val="24"/>
          <w:szCs w:val="24"/>
          <w:rtl/>
        </w:rPr>
        <w:t>،</w:t>
      </w:r>
      <w:r w:rsidRPr="007F3574">
        <w:rPr>
          <w:rFonts w:ascii="Traditional Arabic" w:hAnsi="Traditional Arabic" w:cs="Traditional Arabic"/>
          <w:sz w:val="24"/>
          <w:szCs w:val="24"/>
          <w:rtl/>
        </w:rPr>
        <w:t xml:space="preserve"> محمد بن عوض المنقوش</w:t>
      </w:r>
      <w:r w:rsidRPr="007F3574">
        <w:rPr>
          <w:rFonts w:ascii="Traditional Arabic" w:hAnsi="Traditional Arabic" w:cs="Traditional Arabic" w:hint="cs"/>
          <w:sz w:val="24"/>
          <w:szCs w:val="24"/>
          <w:rtl/>
        </w:rPr>
        <w:t xml:space="preserve">، </w:t>
      </w:r>
      <w:r w:rsidRPr="007F3574">
        <w:rPr>
          <w:rFonts w:ascii="Traditional Arabic" w:hAnsi="Traditional Arabic" w:cs="Traditional Arabic"/>
          <w:sz w:val="24"/>
          <w:szCs w:val="24"/>
          <w:rtl/>
        </w:rPr>
        <w:t>صلاح بن سالم المصراتي</w:t>
      </w:r>
      <w:r w:rsidRPr="007F3574">
        <w:rPr>
          <w:rFonts w:ascii="Traditional Arabic" w:hAnsi="Traditional Arabic" w:cs="Traditional Arabic" w:hint="cs"/>
          <w:sz w:val="24"/>
          <w:szCs w:val="24"/>
          <w:rtl/>
        </w:rPr>
        <w:t xml:space="preserve">، </w:t>
      </w:r>
      <w:r w:rsidRPr="007F3574">
        <w:rPr>
          <w:rFonts w:ascii="Traditional Arabic" w:hAnsi="Traditional Arabic" w:cs="Traditional Arabic"/>
          <w:sz w:val="24"/>
          <w:szCs w:val="24"/>
          <w:rtl/>
        </w:rPr>
        <w:t>علاء بن مصطفى بن همام</w:t>
      </w:r>
      <w:r w:rsidRPr="007F3574">
        <w:rPr>
          <w:rFonts w:ascii="Traditional Arabic" w:hAnsi="Traditional Arabic" w:cs="Traditional Arabic" w:hint="cs"/>
          <w:sz w:val="24"/>
          <w:szCs w:val="24"/>
          <w:rtl/>
        </w:rPr>
        <w:t xml:space="preserve">، </w:t>
      </w:r>
      <w:r w:rsidRPr="007F3574">
        <w:rPr>
          <w:rFonts w:ascii="Traditional Arabic" w:hAnsi="Traditional Arabic" w:cs="Traditional Arabic"/>
          <w:sz w:val="24"/>
          <w:szCs w:val="24"/>
          <w:rtl/>
        </w:rPr>
        <w:t>صبري بن عبد الخالق الشافعي</w:t>
      </w:r>
      <w:r w:rsidRPr="007F3574">
        <w:rPr>
          <w:rFonts w:ascii="Traditional Arabic" w:hAnsi="Traditional Arabic" w:cs="Traditional Arabic" w:hint="cs"/>
          <w:sz w:val="24"/>
          <w:szCs w:val="24"/>
          <w:rtl/>
        </w:rPr>
        <w:t xml:space="preserve">، </w:t>
      </w:r>
      <w:r w:rsidRPr="007F3574">
        <w:rPr>
          <w:rFonts w:ascii="Traditional Arabic" w:hAnsi="Traditional Arabic" w:cs="Traditional Arabic"/>
          <w:sz w:val="24"/>
          <w:szCs w:val="24"/>
          <w:rtl/>
        </w:rPr>
        <w:t>الناشر: مكتبة الغرباء الأثرية - المدينة النبوية</w:t>
      </w:r>
      <w:r w:rsidRPr="007F3574">
        <w:rPr>
          <w:rFonts w:ascii="Traditional Arabic" w:hAnsi="Traditional Arabic" w:cs="Traditional Arabic" w:hint="cs"/>
          <w:sz w:val="24"/>
          <w:szCs w:val="24"/>
          <w:rtl/>
        </w:rPr>
        <w:t xml:space="preserve">، </w:t>
      </w:r>
      <w:r w:rsidRPr="007F3574">
        <w:rPr>
          <w:rFonts w:ascii="Traditional Arabic" w:hAnsi="Traditional Arabic" w:cs="Traditional Arabic"/>
          <w:sz w:val="24"/>
          <w:szCs w:val="24"/>
          <w:rtl/>
        </w:rPr>
        <w:t>الحقوق: مكتب تحقيق دار الحرمين – القاهرة</w:t>
      </w:r>
      <w:r w:rsidRPr="007F3574">
        <w:rPr>
          <w:rFonts w:ascii="Traditional Arabic" w:hAnsi="Traditional Arabic" w:cs="Traditional Arabic" w:hint="cs"/>
          <w:sz w:val="24"/>
          <w:szCs w:val="24"/>
          <w:rtl/>
        </w:rPr>
        <w:t xml:space="preserve">، </w:t>
      </w:r>
      <w:r w:rsidRPr="007F3574">
        <w:rPr>
          <w:rFonts w:ascii="Traditional Arabic" w:hAnsi="Traditional Arabic" w:cs="Traditional Arabic"/>
          <w:sz w:val="24"/>
          <w:szCs w:val="24"/>
          <w:rtl/>
        </w:rPr>
        <w:t>الطبعة: الأولى، 1417 هـ</w:t>
      </w:r>
      <w:r w:rsidRPr="007F3574">
        <w:rPr>
          <w:rFonts w:ascii="Traditional Arabic" w:hAnsi="Traditional Arabic" w:cs="Traditional Arabic" w:hint="cs"/>
          <w:sz w:val="24"/>
          <w:szCs w:val="24"/>
          <w:rtl/>
        </w:rPr>
        <w:t>، عدد</w:t>
      </w:r>
      <w:r w:rsidRPr="007F3574">
        <w:rPr>
          <w:rFonts w:ascii="Traditional Arabic" w:hAnsi="Traditional Arabic" w:cs="Traditional Arabic" w:hint="cs"/>
          <w:color w:val="000000"/>
          <w:sz w:val="24"/>
          <w:szCs w:val="24"/>
          <w:rtl/>
        </w:rPr>
        <w:t xml:space="preserve"> الأجزاء: 10.</w:t>
      </w:r>
      <w:r w:rsidRPr="007F3574">
        <w:rPr>
          <w:rFonts w:ascii="Traditional Arabic" w:hAnsi="Traditional Arabic" w:cs="Traditional Arabic" w:hint="cs"/>
          <w:sz w:val="24"/>
          <w:szCs w:val="24"/>
          <w:rtl/>
        </w:rPr>
        <w:t xml:space="preserve">  </w:t>
      </w:r>
    </w:p>
    <w:p w:rsidR="00F50D8F" w:rsidRPr="007F3574" w:rsidRDefault="00F50D8F" w:rsidP="00F50D8F">
      <w:pPr>
        <w:pStyle w:val="ListParagraph"/>
        <w:numPr>
          <w:ilvl w:val="0"/>
          <w:numId w:val="2"/>
        </w:numPr>
        <w:autoSpaceDE w:val="0"/>
        <w:autoSpaceDN w:val="0"/>
        <w:adjustRightInd w:val="0"/>
        <w:spacing w:after="0" w:line="240" w:lineRule="auto"/>
        <w:jc w:val="both"/>
        <w:rPr>
          <w:rFonts w:ascii="Traditional Arabic" w:hAnsi="Traditional Arabic" w:cs="Traditional Arabic"/>
          <w:sz w:val="24"/>
          <w:szCs w:val="24"/>
          <w:rtl/>
        </w:rPr>
      </w:pPr>
    </w:p>
    <w:p w:rsidR="00F50D8F" w:rsidRPr="00F50D8F" w:rsidRDefault="00F50D8F" w:rsidP="00F50D8F">
      <w:pPr>
        <w:jc w:val="right"/>
        <w:rPr>
          <w:sz w:val="32"/>
          <w:szCs w:val="32"/>
          <w:rtl/>
        </w:rPr>
      </w:pPr>
    </w:p>
    <w:sectPr w:rsidR="00F50D8F" w:rsidRPr="00F50D8F" w:rsidSect="002D49DE">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C71" w:rsidRDefault="00F75C71" w:rsidP="005B6B68">
      <w:r>
        <w:separator/>
      </w:r>
    </w:p>
  </w:endnote>
  <w:endnote w:type="continuationSeparator" w:id="0">
    <w:p w:rsidR="00F75C71" w:rsidRDefault="00F75C71" w:rsidP="005B6B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raditional Arabic">
    <w:panose1 w:val="02020603050405020304"/>
    <w:charset w:val="00"/>
    <w:family w:val="roman"/>
    <w:pitch w:val="variable"/>
    <w:sig w:usb0="00002003" w:usb1="80000000" w:usb2="00000008" w:usb3="00000000" w:csb0="00000041" w:csb1="00000000"/>
  </w:font>
  <w:font w:name="DecoType Naskh Extensions">
    <w:panose1 w:val="00000000000000000000"/>
    <w:charset w:val="B2"/>
    <w:family w:val="auto"/>
    <w:pitch w:val="variable"/>
    <w:sig w:usb0="00002001" w:usb1="00000000" w:usb2="00000000" w:usb3="00000000" w:csb0="00000040" w:csb1="00000000"/>
  </w:font>
  <w:font w:name="AGA Arabesque">
    <w:altName w:val="Symbol"/>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DecoType Thuluth">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C71" w:rsidRDefault="00F75C71" w:rsidP="005B6B68">
      <w:r>
        <w:separator/>
      </w:r>
    </w:p>
  </w:footnote>
  <w:footnote w:type="continuationSeparator" w:id="0">
    <w:p w:rsidR="00F75C71" w:rsidRDefault="00F75C71" w:rsidP="005B6B68">
      <w:r>
        <w:continuationSeparator/>
      </w:r>
    </w:p>
  </w:footnote>
  <w:footnote w:id="1">
    <w:p w:rsidR="005B6B68" w:rsidRPr="00925409" w:rsidRDefault="005B6B68" w:rsidP="005B6B68">
      <w:pPr>
        <w:autoSpaceDE w:val="0"/>
        <w:autoSpaceDN w:val="0"/>
        <w:bidi/>
        <w:adjustRightInd w:val="0"/>
        <w:jc w:val="both"/>
        <w:rPr>
          <w:rFonts w:ascii="Traditional Arabic" w:hAnsi="Traditional Arabic" w:cs="Traditional Arabic"/>
          <w:rtl/>
        </w:rPr>
      </w:pPr>
      <w:r w:rsidRPr="00925409">
        <w:rPr>
          <w:rFonts w:ascii="Traditional Arabic" w:hAnsi="Traditional Arabic" w:cs="Traditional Arabic" w:hint="cs"/>
          <w:b/>
          <w:bCs/>
          <w:rtl/>
        </w:rPr>
        <w:t>(</w:t>
      </w:r>
      <w:r w:rsidRPr="00925409">
        <w:rPr>
          <w:rStyle w:val="FootnoteReference"/>
          <w:rFonts w:ascii="Traditional Arabic" w:hAnsi="Traditional Arabic"/>
          <w:vertAlign w:val="baseline"/>
        </w:rPr>
        <w:footnoteRef/>
      </w:r>
      <w:r w:rsidRPr="00925409">
        <w:rPr>
          <w:rFonts w:ascii="Traditional Arabic" w:hAnsi="Traditional Arabic" w:cs="Traditional Arabic" w:hint="cs"/>
          <w:b/>
          <w:bCs/>
          <w:rtl/>
        </w:rPr>
        <w:t xml:space="preserve">) متفق عليه، </w:t>
      </w:r>
      <w:r w:rsidRPr="00925409">
        <w:rPr>
          <w:rFonts w:ascii="Traditional Arabic" w:hAnsi="Traditional Arabic" w:cs="Traditional Arabic" w:hint="cs"/>
          <w:b/>
          <w:bCs/>
          <w:u w:val="single"/>
          <w:rtl/>
        </w:rPr>
        <w:t>أخرجه البخاري في صحيحه</w:t>
      </w:r>
      <w:r w:rsidRPr="00925409">
        <w:rPr>
          <w:rFonts w:ascii="Traditional Arabic" w:hAnsi="Traditional Arabic" w:cs="Traditional Arabic" w:hint="cs"/>
          <w:rtl/>
        </w:rPr>
        <w:t xml:space="preserve">، </w:t>
      </w:r>
      <w:r w:rsidRPr="00925409">
        <w:rPr>
          <w:rFonts w:ascii="Traditional Arabic" w:hAnsi="Traditional Arabic" w:cs="Traditional Arabic"/>
          <w:rtl/>
        </w:rPr>
        <w:t>كتاب الأذان</w:t>
      </w:r>
      <w:r w:rsidRPr="00925409">
        <w:rPr>
          <w:rFonts w:ascii="Traditional Arabic" w:hAnsi="Traditional Arabic" w:cs="Traditional Arabic" w:hint="cs"/>
          <w:rtl/>
        </w:rPr>
        <w:t xml:space="preserve">، </w:t>
      </w:r>
      <w:r w:rsidRPr="00925409">
        <w:rPr>
          <w:rFonts w:ascii="Traditional Arabic" w:hAnsi="Traditional Arabic" w:cs="Traditional Arabic"/>
          <w:rtl/>
        </w:rPr>
        <w:t>باب</w:t>
      </w:r>
      <w:r w:rsidRPr="00925409">
        <w:rPr>
          <w:rFonts w:ascii="Traditional Arabic" w:hAnsi="Traditional Arabic" w:cs="Traditional Arabic" w:hint="cs"/>
          <w:rtl/>
        </w:rPr>
        <w:t>:</w:t>
      </w:r>
      <w:r w:rsidRPr="00925409">
        <w:rPr>
          <w:rFonts w:ascii="Traditional Arabic" w:hAnsi="Traditional Arabic" w:cs="Traditional Arabic"/>
          <w:rtl/>
        </w:rPr>
        <w:t xml:space="preserve"> إثم من رفع رأسه قبل الإمام</w:t>
      </w:r>
      <w:r w:rsidRPr="00925409">
        <w:rPr>
          <w:rFonts w:ascii="Traditional Arabic" w:hAnsi="Traditional Arabic" w:cs="Traditional Arabic" w:hint="cs"/>
          <w:rtl/>
        </w:rPr>
        <w:t xml:space="preserve">[المجلد الأول/ص:230] رقم الحديث[691]واللفظ له، </w:t>
      </w:r>
      <w:r w:rsidRPr="00925409">
        <w:rPr>
          <w:rFonts w:ascii="Traditional Arabic" w:hAnsi="Traditional Arabic" w:cs="Traditional Arabic" w:hint="cs"/>
          <w:b/>
          <w:bCs/>
          <w:u w:val="single"/>
          <w:rtl/>
        </w:rPr>
        <w:t>ومسلم في صححه</w:t>
      </w:r>
      <w:r w:rsidRPr="00925409">
        <w:rPr>
          <w:rFonts w:ascii="Traditional Arabic" w:hAnsi="Traditional Arabic" w:cs="Traditional Arabic" w:hint="cs"/>
          <w:rtl/>
        </w:rPr>
        <w:t>، كتاب الصلاة، باب:</w:t>
      </w:r>
      <w:r w:rsidRPr="00925409">
        <w:rPr>
          <w:rFonts w:ascii="Traditional Arabic" w:hAnsi="Traditional Arabic" w:cs="Traditional Arabic" w:hint="cs"/>
          <w:b/>
          <w:bCs/>
          <w:color w:val="800000"/>
          <w:rtl/>
        </w:rPr>
        <w:t xml:space="preserve"> </w:t>
      </w:r>
      <w:r w:rsidRPr="00925409">
        <w:rPr>
          <w:rFonts w:ascii="Traditional Arabic" w:hAnsi="Traditional Arabic" w:cs="Traditional Arabic"/>
          <w:rtl/>
        </w:rPr>
        <w:t>باب النهي عن سبق الإمام بركوع أو سجود ونحوهما</w:t>
      </w:r>
      <w:r w:rsidRPr="00925409">
        <w:rPr>
          <w:rFonts w:ascii="Traditional Arabic" w:hAnsi="Traditional Arabic" w:cs="Traditional Arabic" w:hint="cs"/>
          <w:rtl/>
        </w:rPr>
        <w:t xml:space="preserve"> [المجلد الأول/ ص:320] رقم الحديث [427].</w:t>
      </w:r>
    </w:p>
  </w:footnote>
  <w:footnote w:id="2">
    <w:p w:rsidR="005B6B68" w:rsidRPr="00925409" w:rsidRDefault="005B6B68" w:rsidP="005B6B68">
      <w:pPr>
        <w:pStyle w:val="FootnoteText"/>
        <w:jc w:val="both"/>
        <w:rPr>
          <w:rFonts w:ascii="Traditional Arabic" w:hAnsi="Traditional Arabic" w:cs="Traditional Arabic"/>
        </w:rPr>
      </w:pPr>
      <w:r w:rsidRPr="00925409">
        <w:rPr>
          <w:rFonts w:ascii="Traditional Arabic" w:hAnsi="Traditional Arabic" w:cs="Traditional Arabic" w:hint="cs"/>
          <w:b/>
          <w:bCs/>
          <w:rtl/>
        </w:rPr>
        <w:t>(</w:t>
      </w:r>
      <w:r w:rsidRPr="00925409">
        <w:rPr>
          <w:rStyle w:val="FootnoteReference"/>
          <w:rFonts w:ascii="Traditional Arabic" w:hAnsi="Traditional Arabic"/>
          <w:vertAlign w:val="baseline"/>
        </w:rPr>
        <w:footnoteRef/>
      </w:r>
      <w:r w:rsidRPr="00925409">
        <w:rPr>
          <w:rFonts w:ascii="Traditional Arabic" w:hAnsi="Traditional Arabic" w:cs="Traditional Arabic" w:hint="cs"/>
          <w:b/>
          <w:bCs/>
          <w:rtl/>
        </w:rPr>
        <w:t xml:space="preserve">) </w:t>
      </w:r>
      <w:r w:rsidRPr="00925409">
        <w:rPr>
          <w:rFonts w:ascii="Traditional Arabic" w:hAnsi="Traditional Arabic" w:cs="Traditional Arabic" w:hint="cs"/>
          <w:rtl/>
        </w:rPr>
        <w:t>انظر:</w:t>
      </w:r>
      <w:r w:rsidRPr="00925409">
        <w:rPr>
          <w:rFonts w:ascii="Traditional Arabic" w:hAnsi="Traditional Arabic" w:cs="Traditional Arabic"/>
          <w:b/>
          <w:bCs/>
          <w:rtl/>
        </w:rPr>
        <w:t xml:space="preserve"> </w:t>
      </w:r>
      <w:r w:rsidRPr="00925409">
        <w:rPr>
          <w:rFonts w:ascii="Traditional Arabic" w:hAnsi="Traditional Arabic" w:cs="Traditional Arabic"/>
          <w:b/>
          <w:bCs/>
          <w:color w:val="000000"/>
          <w:u w:val="single"/>
          <w:rtl/>
        </w:rPr>
        <w:t>إحكام الإحكام شرح عمدة الأحكام</w:t>
      </w:r>
      <w:r w:rsidRPr="00925409">
        <w:rPr>
          <w:rFonts w:ascii="Traditional Arabic" w:hAnsi="Traditional Arabic" w:cs="Traditional Arabic" w:hint="cs"/>
          <w:color w:val="000000"/>
          <w:rtl/>
        </w:rPr>
        <w:t>[ص:224]</w:t>
      </w:r>
      <w:r w:rsidRPr="00925409">
        <w:rPr>
          <w:rFonts w:ascii="Traditional Arabic" w:hAnsi="Traditional Arabic" w:cs="Traditional Arabic" w:hint="cs"/>
          <w:rtl/>
        </w:rPr>
        <w:t>.</w:t>
      </w:r>
    </w:p>
  </w:footnote>
  <w:footnote w:id="3">
    <w:p w:rsidR="005B6B68" w:rsidRPr="00925409" w:rsidRDefault="005B6B68" w:rsidP="005B6B68">
      <w:pPr>
        <w:pStyle w:val="FootnoteText"/>
        <w:jc w:val="both"/>
        <w:rPr>
          <w:rFonts w:ascii="Traditional Arabic" w:hAnsi="Traditional Arabic" w:cs="Traditional Arabic"/>
          <w:b/>
          <w:bCs/>
          <w:rtl/>
        </w:rPr>
      </w:pPr>
      <w:r w:rsidRPr="00925409">
        <w:rPr>
          <w:rFonts w:ascii="Traditional Arabic" w:hAnsi="Traditional Arabic" w:cs="Traditional Arabic" w:hint="cs"/>
          <w:b/>
          <w:bCs/>
          <w:rtl/>
        </w:rPr>
        <w:t>(</w:t>
      </w:r>
      <w:r w:rsidRPr="00925409">
        <w:rPr>
          <w:rStyle w:val="FootnoteReference"/>
          <w:rFonts w:ascii="Traditional Arabic" w:hAnsi="Traditional Arabic"/>
          <w:vertAlign w:val="baseline"/>
        </w:rPr>
        <w:footnoteRef/>
      </w:r>
      <w:r w:rsidRPr="00925409">
        <w:rPr>
          <w:rFonts w:ascii="Traditional Arabic" w:hAnsi="Traditional Arabic" w:cs="Traditional Arabic" w:hint="cs"/>
          <w:b/>
          <w:bCs/>
          <w:rtl/>
        </w:rPr>
        <w:t xml:space="preserve">) </w:t>
      </w:r>
      <w:r w:rsidRPr="00925409">
        <w:rPr>
          <w:rFonts w:ascii="Traditional Arabic" w:hAnsi="Traditional Arabic" w:cs="Traditional Arabic" w:hint="cs"/>
          <w:rtl/>
        </w:rPr>
        <w:t>سورة الجمعة</w:t>
      </w:r>
      <w:r w:rsidRPr="00925409">
        <w:rPr>
          <w:rFonts w:ascii="Traditional Arabic" w:hAnsi="Traditional Arabic" w:cs="Traditional Arabic" w:hint="cs"/>
          <w:b/>
          <w:bCs/>
          <w:rtl/>
        </w:rPr>
        <w:t xml:space="preserve"> </w:t>
      </w:r>
      <w:r w:rsidRPr="00925409">
        <w:rPr>
          <w:rFonts w:ascii="Traditional Arabic" w:hAnsi="Traditional Arabic" w:cs="Traditional Arabic" w:hint="cs"/>
          <w:rtl/>
        </w:rPr>
        <w:t>[الآية: 5].</w:t>
      </w:r>
      <w:r w:rsidRPr="00925409">
        <w:rPr>
          <w:rFonts w:ascii="Traditional Arabic" w:hAnsi="Traditional Arabic" w:cs="Traditional Arabic"/>
          <w:rtl/>
        </w:rPr>
        <w:t xml:space="preserve"> </w:t>
      </w:r>
    </w:p>
  </w:footnote>
  <w:footnote w:id="4">
    <w:p w:rsidR="005B6B68" w:rsidRPr="00925409" w:rsidRDefault="005B6B68" w:rsidP="005B6B68">
      <w:pPr>
        <w:pStyle w:val="FootnoteText"/>
        <w:jc w:val="both"/>
        <w:rPr>
          <w:rFonts w:ascii="Traditional Arabic" w:hAnsi="Traditional Arabic" w:cs="Traditional Arabic"/>
          <w:b/>
          <w:bCs/>
          <w:rtl/>
        </w:rPr>
      </w:pPr>
      <w:r w:rsidRPr="00925409">
        <w:rPr>
          <w:rFonts w:ascii="Traditional Arabic" w:hAnsi="Traditional Arabic" w:cs="Traditional Arabic" w:hint="cs"/>
          <w:b/>
          <w:bCs/>
          <w:rtl/>
        </w:rPr>
        <w:t>(</w:t>
      </w:r>
      <w:r w:rsidRPr="00925409">
        <w:rPr>
          <w:rStyle w:val="FootnoteReference"/>
          <w:rFonts w:ascii="Traditional Arabic" w:hAnsi="Traditional Arabic"/>
          <w:vertAlign w:val="baseline"/>
        </w:rPr>
        <w:footnoteRef/>
      </w:r>
      <w:r w:rsidRPr="00925409">
        <w:rPr>
          <w:rFonts w:ascii="Traditional Arabic" w:hAnsi="Traditional Arabic" w:cs="Traditional Arabic" w:hint="cs"/>
          <w:b/>
          <w:bCs/>
          <w:rtl/>
        </w:rPr>
        <w:t xml:space="preserve">) </w:t>
      </w:r>
      <w:r w:rsidRPr="00925409">
        <w:rPr>
          <w:rFonts w:ascii="Traditional Arabic" w:hAnsi="Traditional Arabic" w:cs="Traditional Arabic"/>
          <w:b/>
          <w:bCs/>
          <w:color w:val="000000"/>
          <w:u w:val="single"/>
          <w:rtl/>
        </w:rPr>
        <w:t>فتح الباري</w:t>
      </w:r>
      <w:r w:rsidRPr="00925409">
        <w:rPr>
          <w:rFonts w:ascii="Traditional Arabic" w:hAnsi="Traditional Arabic" w:cs="Traditional Arabic" w:hint="cs"/>
          <w:b/>
          <w:bCs/>
          <w:color w:val="000000"/>
          <w:u w:val="single"/>
          <w:rtl/>
        </w:rPr>
        <w:t xml:space="preserve"> لابن رجب الحنبلي</w:t>
      </w:r>
      <w:r w:rsidRPr="00925409">
        <w:rPr>
          <w:rFonts w:ascii="Traditional Arabic" w:hAnsi="Traditional Arabic" w:cs="Traditional Arabic" w:hint="cs"/>
          <w:color w:val="000000"/>
          <w:rtl/>
        </w:rPr>
        <w:t>[المجلد السادس/ص:166-167].</w:t>
      </w:r>
      <w:r w:rsidRPr="00925409">
        <w:rPr>
          <w:rFonts w:ascii="Traditional Arabic" w:hAnsi="Traditional Arabic" w:cs="Traditional Arabic"/>
          <w:rtl/>
        </w:rPr>
        <w:t xml:space="preserve"> </w:t>
      </w:r>
    </w:p>
  </w:footnote>
  <w:footnote w:id="5">
    <w:p w:rsidR="00801886" w:rsidRPr="00925409" w:rsidRDefault="00801886" w:rsidP="00925409">
      <w:pPr>
        <w:pStyle w:val="FootnoteText"/>
        <w:rPr>
          <w:rFonts w:ascii="Traditional Arabic" w:hAnsi="Traditional Arabic" w:cs="Traditional Arabic"/>
          <w:b/>
          <w:bCs/>
          <w:color w:val="000080"/>
          <w:sz w:val="32"/>
          <w:szCs w:val="32"/>
          <w:rtl/>
        </w:rPr>
      </w:pPr>
      <w:r w:rsidRPr="00925409">
        <w:rPr>
          <w:rFonts w:ascii="Traditional Arabic" w:hAnsi="Traditional Arabic" w:cs="Traditional Arabic" w:hint="cs"/>
          <w:b/>
          <w:bCs/>
          <w:color w:val="000000"/>
          <w:rtl/>
        </w:rPr>
        <w:t>(</w:t>
      </w:r>
      <w:r w:rsidRPr="00925409">
        <w:rPr>
          <w:rFonts w:ascii="Traditional Arabic" w:hAnsi="Traditional Arabic" w:cs="Traditional Arabic"/>
          <w:b/>
          <w:bCs/>
          <w:color w:val="000000"/>
          <w:rtl/>
        </w:rPr>
        <w:footnoteRef/>
      </w:r>
      <w:r w:rsidRPr="00925409">
        <w:rPr>
          <w:rFonts w:ascii="Traditional Arabic" w:hAnsi="Traditional Arabic" w:cs="Traditional Arabic" w:hint="cs"/>
          <w:b/>
          <w:bCs/>
          <w:color w:val="000000"/>
          <w:rtl/>
        </w:rPr>
        <w:t>)</w:t>
      </w:r>
      <w:r w:rsidR="00925409" w:rsidRPr="00925409">
        <w:rPr>
          <w:rFonts w:ascii="Traditional Arabic" w:hAnsi="Traditional Arabic" w:cs="Traditional Arabic"/>
          <w:b/>
          <w:bCs/>
          <w:color w:val="000000"/>
          <w:rtl/>
        </w:rPr>
        <w:t>شرح صحيح البخارى لابن بطال</w:t>
      </w:r>
      <w:r w:rsidR="00925409">
        <w:rPr>
          <w:rFonts w:ascii="Traditional Arabic" w:hAnsi="Traditional Arabic" w:cs="Traditional Arabic" w:hint="cs"/>
          <w:b/>
          <w:bCs/>
          <w:color w:val="000000"/>
          <w:rtl/>
        </w:rPr>
        <w:t xml:space="preserve"> </w:t>
      </w:r>
      <w:r w:rsidR="00925409" w:rsidRPr="00925409">
        <w:rPr>
          <w:rFonts w:ascii="Traditional Arabic" w:hAnsi="Traditional Arabic" w:cs="Traditional Arabic" w:hint="cs"/>
          <w:color w:val="000000"/>
          <w:rtl/>
        </w:rPr>
        <w:t>[</w:t>
      </w:r>
      <w:r w:rsidR="00925409">
        <w:rPr>
          <w:rFonts w:ascii="Traditional Arabic" w:hAnsi="Traditional Arabic" w:cs="Traditional Arabic" w:hint="cs"/>
          <w:color w:val="000000"/>
          <w:rtl/>
        </w:rPr>
        <w:t>المجلد الثاني/</w:t>
      </w:r>
      <w:r w:rsidR="00F50D8F">
        <w:rPr>
          <w:rFonts w:ascii="Traditional Arabic" w:hAnsi="Traditional Arabic" w:cs="Traditional Arabic" w:hint="cs"/>
          <w:color w:val="000000"/>
          <w:rtl/>
        </w:rPr>
        <w:t xml:space="preserve"> ص: 318</w:t>
      </w:r>
      <w:r w:rsidR="00925409" w:rsidRPr="00925409">
        <w:rPr>
          <w:rFonts w:ascii="Traditional Arabic" w:hAnsi="Traditional Arabic" w:cs="Traditional Arabic" w:hint="cs"/>
          <w:color w:val="000000"/>
          <w:rtl/>
        </w:rPr>
        <w:t>]</w:t>
      </w:r>
      <w:r w:rsidR="00F50D8F">
        <w:rPr>
          <w:rFonts w:ascii="Traditional Arabic" w:hAnsi="Traditional Arabic" w:cs="Traditional Arabic" w:hint="cs"/>
          <w:b/>
          <w:bCs/>
          <w:color w:val="000080"/>
          <w:sz w:val="32"/>
          <w:szCs w:val="32"/>
          <w:rtl/>
        </w:rPr>
        <w:t>.</w:t>
      </w:r>
    </w:p>
  </w:footnote>
  <w:footnote w:id="6">
    <w:p w:rsidR="00801886" w:rsidRPr="00925409" w:rsidRDefault="00801886" w:rsidP="00801886">
      <w:pPr>
        <w:pStyle w:val="FootnoteText"/>
        <w:rPr>
          <w:sz w:val="16"/>
          <w:szCs w:val="16"/>
          <w:rtl/>
        </w:rPr>
      </w:pPr>
      <w:r w:rsidRPr="00925409">
        <w:rPr>
          <w:rFonts w:ascii="Traditional Arabic" w:hAnsi="Traditional Arabic" w:cs="Traditional Arabic" w:hint="cs"/>
          <w:b/>
          <w:bCs/>
          <w:color w:val="000000"/>
          <w:rtl/>
        </w:rPr>
        <w:t>(</w:t>
      </w:r>
      <w:r w:rsidRPr="00925409">
        <w:rPr>
          <w:rFonts w:ascii="Traditional Arabic" w:hAnsi="Traditional Arabic" w:cs="Traditional Arabic"/>
          <w:b/>
          <w:bCs/>
          <w:color w:val="000000"/>
          <w:rtl/>
        </w:rPr>
        <w:footnoteRef/>
      </w:r>
      <w:r w:rsidRPr="00925409">
        <w:rPr>
          <w:rFonts w:ascii="Traditional Arabic" w:hAnsi="Traditional Arabic" w:cs="Traditional Arabic" w:hint="cs"/>
          <w:b/>
          <w:bCs/>
          <w:color w:val="000000"/>
          <w:rtl/>
        </w:rPr>
        <w:t xml:space="preserve">) </w:t>
      </w:r>
      <w:r w:rsidRPr="00925409">
        <w:rPr>
          <w:rFonts w:ascii="Traditional Arabic" w:hAnsi="Traditional Arabic" w:cs="Traditional Arabic"/>
          <w:b/>
          <w:bCs/>
          <w:color w:val="000000"/>
          <w:rtl/>
        </w:rPr>
        <w:t>إحكام الإحكام شرح عمدة الأحكام</w:t>
      </w:r>
      <w:r w:rsidRPr="00925409">
        <w:rPr>
          <w:rFonts w:ascii="Traditional Arabic" w:hAnsi="Traditional Arabic" w:cs="Traditional Arabic" w:hint="cs"/>
          <w:b/>
          <w:bCs/>
          <w:color w:val="000000"/>
          <w:rtl/>
        </w:rPr>
        <w:t xml:space="preserve"> </w:t>
      </w:r>
      <w:r w:rsidRPr="00925409">
        <w:rPr>
          <w:rFonts w:ascii="Traditional Arabic" w:hAnsi="Traditional Arabic" w:cs="Traditional Arabic" w:hint="cs"/>
          <w:color w:val="000000"/>
          <w:rtl/>
        </w:rPr>
        <w:t>[ص: 224]</w:t>
      </w:r>
    </w:p>
  </w:footnote>
  <w:footnote w:id="7">
    <w:p w:rsidR="00801886" w:rsidRPr="00925409" w:rsidRDefault="00801886" w:rsidP="00801886">
      <w:pPr>
        <w:pStyle w:val="FootnoteText"/>
        <w:rPr>
          <w:sz w:val="16"/>
          <w:szCs w:val="16"/>
          <w:rtl/>
        </w:rPr>
      </w:pPr>
      <w:r w:rsidRPr="00925409">
        <w:rPr>
          <w:rFonts w:ascii="Traditional Arabic" w:hAnsi="Traditional Arabic" w:cs="Traditional Arabic" w:hint="cs"/>
          <w:b/>
          <w:bCs/>
          <w:color w:val="000000"/>
          <w:rtl/>
        </w:rPr>
        <w:t>(</w:t>
      </w:r>
      <w:r w:rsidRPr="00925409">
        <w:rPr>
          <w:rFonts w:ascii="Traditional Arabic" w:hAnsi="Traditional Arabic" w:cs="Traditional Arabic"/>
          <w:b/>
          <w:bCs/>
          <w:color w:val="000000"/>
          <w:rtl/>
        </w:rPr>
        <w:footnoteRef/>
      </w:r>
      <w:r w:rsidRPr="00925409">
        <w:rPr>
          <w:rFonts w:ascii="Traditional Arabic" w:hAnsi="Traditional Arabic" w:cs="Traditional Arabic" w:hint="cs"/>
          <w:b/>
          <w:bCs/>
          <w:color w:val="000000"/>
          <w:rtl/>
        </w:rPr>
        <w:t xml:space="preserve">) </w:t>
      </w:r>
      <w:r w:rsidRPr="00925409">
        <w:rPr>
          <w:rFonts w:ascii="Traditional Arabic" w:hAnsi="Traditional Arabic" w:cs="Traditional Arabic"/>
          <w:b/>
          <w:bCs/>
          <w:color w:val="000000"/>
          <w:rtl/>
        </w:rPr>
        <w:t>إحكام الإحكام شرح عمدة الأحكام</w:t>
      </w:r>
      <w:r w:rsidRPr="00925409">
        <w:rPr>
          <w:rFonts w:ascii="Traditional Arabic" w:hAnsi="Traditional Arabic" w:cs="Traditional Arabic" w:hint="cs"/>
          <w:b/>
          <w:bCs/>
          <w:color w:val="000000"/>
          <w:rtl/>
        </w:rPr>
        <w:t xml:space="preserve"> </w:t>
      </w:r>
      <w:r w:rsidRPr="00925409">
        <w:rPr>
          <w:rFonts w:ascii="Traditional Arabic" w:hAnsi="Traditional Arabic" w:cs="Traditional Arabic" w:hint="cs"/>
          <w:color w:val="000000"/>
          <w:rtl/>
        </w:rPr>
        <w:t>[ص: 224]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pStyle w:val="Heading1"/>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74DE36B4"/>
    <w:multiLevelType w:val="hybridMultilevel"/>
    <w:tmpl w:val="3FB6A5E4"/>
    <w:lvl w:ilvl="0" w:tplc="BFC2F1A8">
      <w:start w:val="1"/>
      <w:numFmt w:val="decimal"/>
      <w:lvlText w:val="%1-"/>
      <w:lvlJc w:val="left"/>
      <w:pPr>
        <w:ind w:left="1080" w:hanging="720"/>
      </w:pPr>
      <w:rPr>
        <w:rFonts w:hint="default"/>
        <w:b w:val="0"/>
        <w:bCs w:val="0"/>
        <w:i w:val="0"/>
        <w:iCs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savePreviewPicture/>
  <w:footnotePr>
    <w:footnote w:id="-1"/>
    <w:footnote w:id="0"/>
  </w:footnotePr>
  <w:endnotePr>
    <w:endnote w:id="-1"/>
    <w:endnote w:id="0"/>
  </w:endnotePr>
  <w:compat/>
  <w:rsids>
    <w:rsidRoot w:val="005B6B68"/>
    <w:rsid w:val="0025530E"/>
    <w:rsid w:val="00304FE5"/>
    <w:rsid w:val="003B52D7"/>
    <w:rsid w:val="00407C7A"/>
    <w:rsid w:val="00415D75"/>
    <w:rsid w:val="004B679F"/>
    <w:rsid w:val="004F2D9B"/>
    <w:rsid w:val="005004AE"/>
    <w:rsid w:val="005B6B68"/>
    <w:rsid w:val="006C5F9A"/>
    <w:rsid w:val="0073698F"/>
    <w:rsid w:val="00750D88"/>
    <w:rsid w:val="007D60C2"/>
    <w:rsid w:val="007F3574"/>
    <w:rsid w:val="00801886"/>
    <w:rsid w:val="008556D7"/>
    <w:rsid w:val="00925409"/>
    <w:rsid w:val="00A25CA6"/>
    <w:rsid w:val="00A30EEF"/>
    <w:rsid w:val="00AE71DF"/>
    <w:rsid w:val="00CA2559"/>
    <w:rsid w:val="00CA62D6"/>
    <w:rsid w:val="00D7522F"/>
    <w:rsid w:val="00E5365E"/>
    <w:rsid w:val="00F10F08"/>
    <w:rsid w:val="00F50D8F"/>
    <w:rsid w:val="00F75C71"/>
    <w:rsid w:val="00FD74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B68"/>
    <w:pPr>
      <w:suppressAutoHyphens/>
      <w:spacing w:after="0" w:line="240" w:lineRule="auto"/>
      <w:jc w:val="center"/>
    </w:pPr>
    <w:rPr>
      <w:rFonts w:ascii="Times New Roman" w:eastAsia="SimSun" w:hAnsi="Times New Roman" w:cs="Times New Roman"/>
      <w:sz w:val="20"/>
      <w:szCs w:val="20"/>
      <w:lang w:eastAsia="zh-CN"/>
    </w:rPr>
  </w:style>
  <w:style w:type="paragraph" w:styleId="Heading1">
    <w:name w:val="heading 1"/>
    <w:basedOn w:val="Normal"/>
    <w:next w:val="BodyText"/>
    <w:link w:val="Heading1Char"/>
    <w:qFormat/>
    <w:rsid w:val="005B6B68"/>
    <w:pPr>
      <w:keepNext/>
      <w:keepLines/>
      <w:numPr>
        <w:numId w:val="1"/>
      </w:numPr>
      <w:tabs>
        <w:tab w:val="left" w:pos="216"/>
        <w:tab w:val="left" w:pos="283"/>
        <w:tab w:val="left" w:pos="340"/>
        <w:tab w:val="left" w:pos="397"/>
      </w:tabs>
      <w:spacing w:before="160" w:after="80"/>
      <w:outlineLvl w:val="0"/>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B68"/>
    <w:rPr>
      <w:rFonts w:ascii="Times New Roman" w:eastAsia="SimSun" w:hAnsi="Times New Roman" w:cs="Times New Roman"/>
      <w:smallCaps/>
      <w:sz w:val="20"/>
      <w:szCs w:val="20"/>
    </w:rPr>
  </w:style>
  <w:style w:type="paragraph" w:styleId="BodyText">
    <w:name w:val="Body Text"/>
    <w:basedOn w:val="Normal"/>
    <w:link w:val="BodyTextChar"/>
    <w:rsid w:val="005B6B68"/>
    <w:pPr>
      <w:spacing w:after="6"/>
      <w:ind w:firstLine="288"/>
      <w:jc w:val="both"/>
    </w:pPr>
    <w:rPr>
      <w:spacing w:val="-1"/>
    </w:rPr>
  </w:style>
  <w:style w:type="character" w:customStyle="1" w:styleId="BodyTextChar">
    <w:name w:val="Body Text Char"/>
    <w:basedOn w:val="DefaultParagraphFont"/>
    <w:link w:val="BodyText"/>
    <w:rsid w:val="005B6B68"/>
    <w:rPr>
      <w:rFonts w:ascii="Times New Roman" w:eastAsia="SimSun" w:hAnsi="Times New Roman" w:cs="Times New Roman"/>
      <w:spacing w:val="-1"/>
      <w:sz w:val="20"/>
      <w:szCs w:val="20"/>
      <w:lang w:eastAsia="zh-CN"/>
    </w:rPr>
  </w:style>
  <w:style w:type="paragraph" w:customStyle="1" w:styleId="Affiliation">
    <w:name w:val="Affiliation"/>
    <w:rsid w:val="005B6B68"/>
    <w:pPr>
      <w:suppressAutoHyphens/>
      <w:spacing w:after="0" w:line="240" w:lineRule="auto"/>
      <w:jc w:val="center"/>
    </w:pPr>
    <w:rPr>
      <w:rFonts w:ascii="Times New Roman" w:eastAsia="SimSun" w:hAnsi="Times New Roman" w:cs="Times New Roman"/>
      <w:sz w:val="20"/>
      <w:szCs w:val="20"/>
      <w:lang w:eastAsia="zh-CN"/>
    </w:rPr>
  </w:style>
  <w:style w:type="paragraph" w:customStyle="1" w:styleId="keywords">
    <w:name w:val="key words"/>
    <w:rsid w:val="005B6B68"/>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papersubtitle">
    <w:name w:val="paper subtitle"/>
    <w:rsid w:val="005B6B68"/>
    <w:pPr>
      <w:suppressAutoHyphens/>
      <w:spacing w:after="120" w:line="240" w:lineRule="auto"/>
      <w:jc w:val="center"/>
    </w:pPr>
    <w:rPr>
      <w:rFonts w:ascii="Times New Roman" w:eastAsia="MS Mincho" w:hAnsi="Times New Roman" w:cs="Times New Roman"/>
      <w:sz w:val="28"/>
      <w:szCs w:val="28"/>
    </w:rPr>
  </w:style>
  <w:style w:type="character" w:styleId="FootnoteReference">
    <w:name w:val="footnote reference"/>
    <w:basedOn w:val="DefaultParagraphFont"/>
    <w:uiPriority w:val="99"/>
    <w:unhideWhenUsed/>
    <w:rsid w:val="005B6B68"/>
    <w:rPr>
      <w:vertAlign w:val="superscript"/>
    </w:rPr>
  </w:style>
  <w:style w:type="paragraph" w:styleId="FootnoteText">
    <w:name w:val="footnote text"/>
    <w:basedOn w:val="Normal"/>
    <w:link w:val="FootnoteTextChar"/>
    <w:uiPriority w:val="99"/>
    <w:unhideWhenUsed/>
    <w:rsid w:val="005B6B68"/>
    <w:pPr>
      <w:suppressAutoHyphens w:val="0"/>
      <w:bidi/>
      <w:jc w:val="left"/>
    </w:pPr>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5B6B68"/>
    <w:rPr>
      <w:sz w:val="20"/>
      <w:szCs w:val="20"/>
    </w:rPr>
  </w:style>
  <w:style w:type="paragraph" w:styleId="ListParagraph">
    <w:name w:val="List Paragraph"/>
    <w:basedOn w:val="Normal"/>
    <w:uiPriority w:val="34"/>
    <w:qFormat/>
    <w:rsid w:val="00F50D8F"/>
    <w:pPr>
      <w:suppressAutoHyphens w:val="0"/>
      <w:bidi/>
      <w:spacing w:after="200" w:line="276"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EADC9-44F6-4A4E-A49B-C1F290336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Pages>
  <Words>611</Words>
  <Characters>3484</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المقدمة</vt:lpstr>
    </vt:vector>
  </TitlesOfParts>
  <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Perosnal</dc:creator>
  <cp:lastModifiedBy>Perosnal</cp:lastModifiedBy>
  <cp:revision>5</cp:revision>
  <dcterms:created xsi:type="dcterms:W3CDTF">2013-06-04T21:21:00Z</dcterms:created>
  <dcterms:modified xsi:type="dcterms:W3CDTF">2013-06-07T15:02:00Z</dcterms:modified>
</cp:coreProperties>
</file>