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C6" w:rsidRPr="007A0D34" w:rsidRDefault="00B349C6" w:rsidP="00B349C6">
      <w:pPr>
        <w:spacing w:after="0" w:line="240" w:lineRule="auto"/>
        <w:jc w:val="center"/>
        <w:rPr>
          <w:rFonts w:ascii="Traditional Arabic" w:hAnsi="Traditional Arabic" w:cs="Traditional Arabic"/>
          <w:b/>
          <w:bCs/>
          <w:sz w:val="48"/>
          <w:szCs w:val="48"/>
          <w:rtl/>
        </w:rPr>
      </w:pPr>
      <w:r w:rsidRPr="007A0D34">
        <w:rPr>
          <w:rFonts w:ascii="Traditional Arabic" w:hAnsi="Traditional Arabic" w:cs="Traditional Arabic" w:hint="cs"/>
          <w:b/>
          <w:bCs/>
          <w:sz w:val="48"/>
          <w:szCs w:val="48"/>
          <w:rtl/>
        </w:rPr>
        <w:t xml:space="preserve">بعض الأحاديث الواردة في النهي عن </w:t>
      </w:r>
      <w:r w:rsidRPr="007A0D34">
        <w:rPr>
          <w:rFonts w:ascii="Traditional Arabic" w:hAnsi="Traditional Arabic" w:cs="Traditional Arabic"/>
          <w:b/>
          <w:bCs/>
          <w:sz w:val="48"/>
          <w:szCs w:val="48"/>
          <w:rtl/>
        </w:rPr>
        <w:t>التشبه ب</w:t>
      </w:r>
      <w:r w:rsidRPr="007A0D34">
        <w:rPr>
          <w:rFonts w:ascii="Traditional Arabic" w:hAnsi="Traditional Arabic" w:cs="Traditional Arabic" w:hint="cs"/>
          <w:b/>
          <w:bCs/>
          <w:sz w:val="48"/>
          <w:szCs w:val="48"/>
          <w:rtl/>
        </w:rPr>
        <w:t xml:space="preserve">حركات </w:t>
      </w:r>
      <w:r w:rsidRPr="007A0D34">
        <w:rPr>
          <w:rFonts w:ascii="Traditional Arabic" w:hAnsi="Traditional Arabic" w:cs="Traditional Arabic"/>
          <w:b/>
          <w:bCs/>
          <w:sz w:val="48"/>
          <w:szCs w:val="48"/>
          <w:rtl/>
        </w:rPr>
        <w:t xml:space="preserve">الحيوان  </w:t>
      </w:r>
      <w:r w:rsidRPr="007A0D34">
        <w:rPr>
          <w:rFonts w:ascii="Traditional Arabic" w:hAnsi="Traditional Arabic" w:cs="Traditional Arabic" w:hint="cs"/>
          <w:b/>
          <w:bCs/>
          <w:sz w:val="48"/>
          <w:szCs w:val="48"/>
          <w:rtl/>
        </w:rPr>
        <w:t>في</w:t>
      </w:r>
      <w:r>
        <w:rPr>
          <w:rFonts w:ascii="Traditional Arabic" w:hAnsi="Traditional Arabic" w:cs="Traditional Arabic" w:hint="cs"/>
          <w:b/>
          <w:bCs/>
          <w:sz w:val="48"/>
          <w:szCs w:val="48"/>
          <w:rtl/>
        </w:rPr>
        <w:t xml:space="preserve"> أثناء الصلاة وما فيها من الأحكام الشرعية</w:t>
      </w:r>
    </w:p>
    <w:p w:rsidR="00B349C6" w:rsidRPr="00903B66" w:rsidRDefault="00B349C6" w:rsidP="00B349C6">
      <w:pPr>
        <w:pStyle w:val="papersubtitle"/>
        <w:bidi/>
        <w:spacing w:before="60" w:after="60"/>
        <w:rPr>
          <w:i/>
          <w:iCs/>
        </w:rPr>
      </w:pPr>
      <w:r>
        <w:rPr>
          <w:rFonts w:hint="cs"/>
          <w:i/>
          <w:iCs/>
          <w:rtl/>
        </w:rPr>
        <w:t>الحديث الشريف</w:t>
      </w:r>
    </w:p>
    <w:p w:rsidR="00B349C6" w:rsidRDefault="00B349C6" w:rsidP="00B349C6">
      <w:pPr>
        <w:spacing w:before="60" w:after="60"/>
      </w:pPr>
    </w:p>
    <w:p w:rsidR="00B349C6" w:rsidRDefault="00B349C6" w:rsidP="00B349C6">
      <w:pPr>
        <w:spacing w:before="60" w:after="60"/>
        <w:sectPr w:rsidR="00B349C6">
          <w:pgSz w:w="11906" w:h="16838"/>
          <w:pgMar w:top="1080" w:right="737" w:bottom="2432" w:left="737" w:header="720" w:footer="720" w:gutter="0"/>
          <w:cols w:space="720"/>
          <w:docGrid w:linePitch="360"/>
        </w:sectPr>
      </w:pPr>
    </w:p>
    <w:p w:rsidR="00B349C6" w:rsidRPr="00DB495D" w:rsidRDefault="00F729AB" w:rsidP="00B349C6">
      <w:pPr>
        <w:pStyle w:val="Affiliation"/>
        <w:bidi/>
        <w:spacing w:before="60" w:after="60"/>
        <w:rPr>
          <w:i/>
          <w:iCs/>
        </w:rPr>
      </w:pPr>
      <w:r>
        <w:rPr>
          <w:rFonts w:hint="cs"/>
          <w:i/>
          <w:iCs/>
          <w:rtl/>
        </w:rPr>
        <w:lastRenderedPageBreak/>
        <w:t>إعداد أ/ عبد ال</w:t>
      </w:r>
      <w:r w:rsidR="00B349C6">
        <w:rPr>
          <w:rFonts w:hint="cs"/>
          <w:i/>
          <w:iCs/>
          <w:rtl/>
        </w:rPr>
        <w:t>ر</w:t>
      </w:r>
      <w:r>
        <w:rPr>
          <w:rFonts w:hint="cs"/>
          <w:i/>
          <w:iCs/>
          <w:rtl/>
        </w:rPr>
        <w:t>ز</w:t>
      </w:r>
      <w:r w:rsidR="00B349C6">
        <w:rPr>
          <w:rFonts w:hint="cs"/>
          <w:i/>
          <w:iCs/>
          <w:rtl/>
        </w:rPr>
        <w:t>اق أحمد محمود</w:t>
      </w:r>
    </w:p>
    <w:p w:rsidR="00B349C6" w:rsidRDefault="00B349C6" w:rsidP="00B349C6">
      <w:pPr>
        <w:pStyle w:val="Affiliation"/>
        <w:bidi/>
        <w:spacing w:before="60" w:after="60"/>
        <w:rPr>
          <w:rFonts w:eastAsia="Times New Roman"/>
        </w:rPr>
      </w:pPr>
      <w:r>
        <w:rPr>
          <w:rFonts w:hint="cs"/>
          <w:i/>
          <w:iCs/>
          <w:rtl/>
        </w:rPr>
        <w:t>قسم الحديث وعلومه</w:t>
      </w:r>
    </w:p>
    <w:p w:rsidR="00B349C6" w:rsidRDefault="00B349C6" w:rsidP="00B349C6">
      <w:pPr>
        <w:pStyle w:val="Affiliation"/>
        <w:bidi/>
        <w:spacing w:before="60" w:after="60"/>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B349C6" w:rsidRDefault="00B349C6" w:rsidP="00B349C6">
      <w:pPr>
        <w:pStyle w:val="Affiliation"/>
        <w:bidi/>
        <w:spacing w:before="60" w:after="60"/>
        <w:rPr>
          <w:rtl/>
          <w:lang w:bidi="ar-EG"/>
        </w:rPr>
      </w:pPr>
      <w:r>
        <w:rPr>
          <w:rFonts w:hint="cs"/>
          <w:rtl/>
        </w:rPr>
        <w:t>شاه علم - ماليزيا</w:t>
      </w:r>
    </w:p>
    <w:p w:rsidR="00B349C6" w:rsidRDefault="00B349C6" w:rsidP="00B349C6">
      <w:pPr>
        <w:pStyle w:val="Affiliation"/>
        <w:bidi/>
        <w:spacing w:before="60" w:after="60"/>
        <w:rPr>
          <w:rtl/>
          <w:lang w:bidi="ar-EG"/>
        </w:rPr>
      </w:pPr>
      <w:r>
        <w:rPr>
          <w:i/>
          <w:iCs/>
        </w:rPr>
        <w:t>abudardaa@lms.mediu.edu.my</w:t>
      </w:r>
    </w:p>
    <w:p w:rsidR="00B349C6" w:rsidRDefault="00B349C6" w:rsidP="00B349C6">
      <w:pPr>
        <w:pStyle w:val="Affiliation"/>
        <w:bidi/>
        <w:spacing w:before="60" w:after="60"/>
        <w:rPr>
          <w:rtl/>
          <w:lang w:bidi="ar-EG"/>
        </w:rPr>
      </w:pPr>
    </w:p>
    <w:p w:rsidR="00B349C6" w:rsidRPr="00FD4583" w:rsidRDefault="00B349C6" w:rsidP="00B349C6">
      <w:pPr>
        <w:pStyle w:val="Affiliation"/>
        <w:bidi/>
        <w:spacing w:before="60" w:after="60"/>
        <w:jc w:val="left"/>
        <w:rPr>
          <w:lang w:bidi="ar-EG"/>
        </w:rPr>
        <w:sectPr w:rsidR="00B349C6" w:rsidRPr="00FD4583" w:rsidSect="002D49DE">
          <w:type w:val="continuous"/>
          <w:pgSz w:w="11906" w:h="16838"/>
          <w:pgMar w:top="1080" w:right="737" w:bottom="2432" w:left="737" w:header="720" w:footer="720" w:gutter="0"/>
          <w:cols w:space="566"/>
          <w:bidi/>
          <w:docGrid w:linePitch="360"/>
        </w:sectPr>
      </w:pPr>
    </w:p>
    <w:p w:rsidR="00B349C6" w:rsidRDefault="00B349C6" w:rsidP="00B349C6">
      <w:pPr>
        <w:autoSpaceDE w:val="0"/>
        <w:autoSpaceDN w:val="0"/>
        <w:adjustRightInd w:val="0"/>
        <w:spacing w:after="0" w:line="240" w:lineRule="auto"/>
        <w:jc w:val="center"/>
        <w:rPr>
          <w:rFonts w:ascii="Traditional Arabic" w:hAnsi="Traditional Arabic" w:cs="Traditional Arabic"/>
          <w:b/>
          <w:bCs/>
          <w:sz w:val="28"/>
          <w:szCs w:val="28"/>
          <w:rtl/>
        </w:rPr>
      </w:pPr>
    </w:p>
    <w:p w:rsidR="00B349C6" w:rsidRDefault="00B349C6" w:rsidP="008A6590">
      <w:pPr>
        <w:pStyle w:val="keywords"/>
        <w:bidi/>
        <w:spacing w:before="60" w:after="60"/>
        <w:ind w:firstLine="180"/>
        <w:rPr>
          <w:rtl/>
        </w:rPr>
      </w:pPr>
      <w:r>
        <w:rPr>
          <w:rFonts w:hint="cs"/>
          <w:rtl/>
        </w:rPr>
        <w:t>هذا البحث يتناول  بعض الأحاديث الوادرة في النهي عن التشبه بح</w:t>
      </w:r>
      <w:r w:rsidR="008A6590">
        <w:rPr>
          <w:rFonts w:hint="cs"/>
          <w:rtl/>
        </w:rPr>
        <w:t xml:space="preserve">ركات الحيوان أثناء الصلاة ، ، وبيان ما فيها من </w:t>
      </w:r>
      <w:r>
        <w:rPr>
          <w:rFonts w:hint="cs"/>
          <w:rtl/>
        </w:rPr>
        <w:t xml:space="preserve"> المسائل العلمية.</w:t>
      </w:r>
    </w:p>
    <w:p w:rsidR="00B349C6" w:rsidRDefault="00B349C6" w:rsidP="00B349C6">
      <w:pPr>
        <w:pStyle w:val="1"/>
        <w:bidi/>
        <w:spacing w:before="60" w:after="60"/>
        <w:rPr>
          <w:b/>
          <w:bCs/>
          <w:rtl/>
        </w:rPr>
      </w:pPr>
      <w:r w:rsidRPr="00E5535F">
        <w:rPr>
          <w:rFonts w:hint="cs"/>
          <w:b/>
          <w:bCs/>
          <w:i/>
          <w:iCs/>
          <w:rtl/>
        </w:rPr>
        <w:t>المقدمة</w:t>
      </w:r>
    </w:p>
    <w:p w:rsidR="00B349C6" w:rsidRDefault="00B349C6" w:rsidP="00B349C6">
      <w:pPr>
        <w:spacing w:after="0" w:line="240" w:lineRule="auto"/>
        <w:jc w:val="lowKashida"/>
        <w:rPr>
          <w:rFonts w:eastAsia="Times New Roman" w:cs="DecoType Naskh Extensions"/>
          <w:b/>
          <w:bCs/>
          <w:sz w:val="24"/>
          <w:szCs w:val="24"/>
          <w:rtl/>
        </w:rPr>
      </w:pPr>
      <w:r>
        <w:rPr>
          <w:rFonts w:eastAsia="Times New Roman" w:cs="DecoType Naskh Extensions" w:hint="cs"/>
          <w:b/>
          <w:bCs/>
          <w:sz w:val="24"/>
          <w:szCs w:val="24"/>
          <w:rtl/>
        </w:rPr>
        <w:t xml:space="preserve">الحمد الله رب العالمين  وبه نستعين ونستهدي ونتوكل عليه  </w:t>
      </w:r>
      <w:r w:rsidRPr="006F65EC">
        <w:rPr>
          <w:rFonts w:eastAsia="Times New Roman" w:cs="DecoType Naskh Extensions"/>
          <w:b/>
          <w:bCs/>
          <w:sz w:val="24"/>
          <w:szCs w:val="24"/>
          <w:rtl/>
        </w:rPr>
        <w:t>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Pr>
          <w:rFonts w:eastAsia="Times New Roman" w:cs="DecoType Naskh Extensions" w:hint="cs"/>
          <w:b/>
          <w:bCs/>
          <w:sz w:val="24"/>
          <w:szCs w:val="24"/>
          <w:rtl/>
        </w:rPr>
        <w:t xml:space="preserve">. </w:t>
      </w:r>
    </w:p>
    <w:p w:rsidR="00B349C6" w:rsidRDefault="00B349C6" w:rsidP="00B349C6">
      <w:pPr>
        <w:spacing w:after="0" w:line="240" w:lineRule="auto"/>
        <w:jc w:val="lowKashida"/>
        <w:rPr>
          <w:rFonts w:eastAsia="Times New Roman" w:cs="DecoType Naskh Extensions"/>
          <w:b/>
          <w:bCs/>
          <w:sz w:val="24"/>
          <w:szCs w:val="24"/>
          <w:rtl/>
        </w:rPr>
      </w:pPr>
      <w:r>
        <w:rPr>
          <w:rFonts w:eastAsia="Times New Roman" w:cs="DecoType Naskh Extensions" w:hint="cs"/>
          <w:b/>
          <w:bCs/>
          <w:sz w:val="24"/>
          <w:szCs w:val="24"/>
          <w:rtl/>
        </w:rPr>
        <w:t xml:space="preserve">أمابعد: </w:t>
      </w:r>
    </w:p>
    <w:p w:rsidR="00B349C6" w:rsidRPr="00576343" w:rsidRDefault="00B349C6" w:rsidP="004F41FE">
      <w:pPr>
        <w:spacing w:after="0" w:line="240" w:lineRule="auto"/>
        <w:jc w:val="lowKashida"/>
        <w:rPr>
          <w:rFonts w:eastAsia="Times New Roman" w:cs="DecoType Naskh Extensions"/>
          <w:b/>
          <w:bCs/>
          <w:sz w:val="24"/>
          <w:szCs w:val="24"/>
          <w:rtl/>
        </w:rPr>
      </w:pPr>
      <w:r>
        <w:rPr>
          <w:rFonts w:eastAsia="Times New Roman" w:cs="DecoType Naskh Extensions" w:hint="cs"/>
          <w:b/>
          <w:bCs/>
          <w:sz w:val="24"/>
          <w:szCs w:val="24"/>
          <w:rtl/>
        </w:rPr>
        <w:t>يتناول هذا البحث الحديث</w:t>
      </w:r>
      <w:r w:rsidR="007449DB">
        <w:rPr>
          <w:rFonts w:eastAsia="Times New Roman" w:cs="DecoType Naskh Extensions" w:hint="cs"/>
          <w:b/>
          <w:bCs/>
          <w:sz w:val="24"/>
          <w:szCs w:val="24"/>
          <w:rtl/>
        </w:rPr>
        <w:t xml:space="preserve"> الثامن</w:t>
      </w:r>
      <w:r>
        <w:rPr>
          <w:rFonts w:eastAsia="Times New Roman" w:cs="DecoType Naskh Extensions" w:hint="cs"/>
          <w:b/>
          <w:bCs/>
          <w:sz w:val="24"/>
          <w:szCs w:val="24"/>
          <w:rtl/>
        </w:rPr>
        <w:t xml:space="preserve">  </w:t>
      </w:r>
      <w:r w:rsidR="004F41FE">
        <w:rPr>
          <w:rFonts w:eastAsia="Times New Roman" w:cs="DecoType Naskh Extensions" w:hint="cs"/>
          <w:b/>
          <w:bCs/>
          <w:sz w:val="24"/>
          <w:szCs w:val="24"/>
          <w:rtl/>
        </w:rPr>
        <w:t xml:space="preserve"> الذي يبين ا</w:t>
      </w:r>
      <w:r w:rsidRPr="00B349C6">
        <w:rPr>
          <w:rFonts w:eastAsia="Times New Roman" w:cs="DecoType Naskh Extensions" w:hint="cs"/>
          <w:b/>
          <w:bCs/>
          <w:sz w:val="24"/>
          <w:szCs w:val="24"/>
          <w:rtl/>
        </w:rPr>
        <w:t>لهيئة المستحبة في السجود</w:t>
      </w:r>
      <w:r>
        <w:rPr>
          <w:rFonts w:eastAsia="Times New Roman" w:cs="DecoType Naskh Extensions" w:hint="cs"/>
          <w:b/>
          <w:bCs/>
          <w:sz w:val="24"/>
          <w:szCs w:val="24"/>
          <w:rtl/>
        </w:rPr>
        <w:t xml:space="preserve"> </w:t>
      </w:r>
      <w:r w:rsidR="004F41FE">
        <w:rPr>
          <w:rFonts w:eastAsia="Times New Roman" w:cs="DecoType Naskh Extensions" w:hint="cs"/>
          <w:b/>
          <w:bCs/>
          <w:sz w:val="24"/>
          <w:szCs w:val="24"/>
          <w:rtl/>
        </w:rPr>
        <w:t xml:space="preserve"> وخلاصة القول فيما سبق  من تعليق الأحاديث </w:t>
      </w:r>
    </w:p>
    <w:p w:rsidR="00B349C6" w:rsidRDefault="00B349C6" w:rsidP="00B349C6">
      <w:pPr>
        <w:autoSpaceDE w:val="0"/>
        <w:autoSpaceDN w:val="0"/>
        <w:adjustRightInd w:val="0"/>
        <w:spacing w:after="0" w:line="240" w:lineRule="auto"/>
        <w:rPr>
          <w:rFonts w:ascii="Traditional Arabic" w:hAnsi="Traditional Arabic" w:cs="Traditional Arabic"/>
          <w:b/>
          <w:bCs/>
          <w:sz w:val="28"/>
          <w:szCs w:val="28"/>
          <w:rtl/>
        </w:rPr>
      </w:pPr>
    </w:p>
    <w:p w:rsidR="00B349C6" w:rsidRPr="00B349C6" w:rsidRDefault="00B349C6" w:rsidP="009B6F90">
      <w:pPr>
        <w:autoSpaceDE w:val="0"/>
        <w:autoSpaceDN w:val="0"/>
        <w:adjustRightInd w:val="0"/>
        <w:spacing w:after="0" w:line="240" w:lineRule="auto"/>
        <w:jc w:val="center"/>
        <w:rPr>
          <w:rFonts w:ascii="Traditional Arabic" w:hAnsi="Traditional Arabic" w:cs="Traditional Arabic"/>
          <w:b/>
          <w:bCs/>
          <w:sz w:val="28"/>
          <w:szCs w:val="28"/>
          <w:rtl/>
        </w:rPr>
      </w:pPr>
      <w:r w:rsidRPr="00B349C6">
        <w:rPr>
          <w:rFonts w:ascii="Traditional Arabic" w:hAnsi="Traditional Arabic" w:cs="Traditional Arabic" w:hint="cs"/>
          <w:b/>
          <w:bCs/>
          <w:sz w:val="28"/>
          <w:szCs w:val="28"/>
          <w:rtl/>
        </w:rPr>
        <w:t>الحديث الثا</w:t>
      </w:r>
      <w:r w:rsidR="009B6F90">
        <w:rPr>
          <w:rFonts w:ascii="Traditional Arabic" w:hAnsi="Traditional Arabic" w:cs="Traditional Arabic" w:hint="cs"/>
          <w:b/>
          <w:bCs/>
          <w:sz w:val="28"/>
          <w:szCs w:val="28"/>
          <w:rtl/>
        </w:rPr>
        <w:t>من</w:t>
      </w:r>
    </w:p>
    <w:p w:rsidR="00B349C6" w:rsidRPr="00B349C6" w:rsidRDefault="00B349C6" w:rsidP="00B349C6">
      <w:pPr>
        <w:autoSpaceDE w:val="0"/>
        <w:autoSpaceDN w:val="0"/>
        <w:adjustRightInd w:val="0"/>
        <w:spacing w:after="0" w:line="240" w:lineRule="auto"/>
        <w:rPr>
          <w:rFonts w:ascii="Traditional Arabic" w:hAnsi="Traditional Arabic" w:cs="Traditional Arabic"/>
          <w:b/>
          <w:bCs/>
          <w:sz w:val="28"/>
          <w:szCs w:val="28"/>
          <w:rtl/>
        </w:rPr>
      </w:pPr>
      <w:r w:rsidRPr="00B349C6">
        <w:rPr>
          <w:rFonts w:ascii="Traditional Arabic" w:hAnsi="Traditional Arabic" w:cs="Traditional Arabic" w:hint="cs"/>
          <w:b/>
          <w:bCs/>
          <w:sz w:val="28"/>
          <w:szCs w:val="28"/>
          <w:rtl/>
        </w:rPr>
        <w:t xml:space="preserve">     </w:t>
      </w:r>
      <w:r w:rsidRPr="00B349C6">
        <w:rPr>
          <w:rFonts w:ascii="Traditional Arabic" w:hAnsi="Traditional Arabic" w:cs="Traditional Arabic"/>
          <w:b/>
          <w:bCs/>
          <w:sz w:val="28"/>
          <w:szCs w:val="28"/>
          <w:rtl/>
        </w:rPr>
        <w:t xml:space="preserve">عَنِ الْبَرَاءِ، قَالَ: قَالَ رَسُولُ اللهِ </w:t>
      </w:r>
      <w:r w:rsidRPr="00B349C6">
        <w:rPr>
          <w:rFonts w:ascii="Traditional Arabic" w:hAnsi="Traditional Arabic" w:cs="Traditional Arabic"/>
          <w:sz w:val="28"/>
          <w:szCs w:val="28"/>
        </w:rPr>
        <w:sym w:font="AGA Arabesque" w:char="F072"/>
      </w:r>
      <w:r w:rsidRPr="00B349C6">
        <w:rPr>
          <w:rFonts w:ascii="Traditional Arabic" w:hAnsi="Traditional Arabic" w:cs="Traditional Arabic"/>
          <w:b/>
          <w:bCs/>
          <w:sz w:val="28"/>
          <w:szCs w:val="28"/>
          <w:rtl/>
        </w:rPr>
        <w:t xml:space="preserve"> «إِذَا سَجَدْتَ، فَضَعْ كَفَّيْكَ وَارْفَعْ مِرْفَقَيْكَ»</w:t>
      </w:r>
      <w:r w:rsidRPr="00B349C6">
        <w:rPr>
          <w:rFonts w:asciiTheme="minorBidi" w:hAnsiTheme="minorBidi"/>
          <w:b/>
          <w:bCs/>
          <w:sz w:val="28"/>
          <w:szCs w:val="28"/>
          <w:vertAlign w:val="superscript"/>
          <w:rtl/>
        </w:rPr>
        <w:t>(</w:t>
      </w:r>
      <w:r w:rsidRPr="00B349C6">
        <w:rPr>
          <w:rStyle w:val="a4"/>
          <w:rFonts w:asciiTheme="minorBidi" w:hAnsiTheme="minorBidi"/>
          <w:sz w:val="28"/>
          <w:szCs w:val="28"/>
          <w:rtl/>
        </w:rPr>
        <w:footnoteReference w:id="1"/>
      </w:r>
      <w:r w:rsidRPr="00B349C6">
        <w:rPr>
          <w:rFonts w:asciiTheme="minorBidi" w:hAnsiTheme="minorBidi"/>
          <w:b/>
          <w:bCs/>
          <w:sz w:val="28"/>
          <w:szCs w:val="28"/>
          <w:vertAlign w:val="superscript"/>
          <w:rtl/>
        </w:rPr>
        <w:t>)</w:t>
      </w:r>
    </w:p>
    <w:p w:rsidR="00B349C6" w:rsidRPr="00B349C6" w:rsidRDefault="00B349C6" w:rsidP="00B349C6">
      <w:pPr>
        <w:rPr>
          <w:sz w:val="18"/>
          <w:szCs w:val="18"/>
        </w:rPr>
      </w:pPr>
    </w:p>
    <w:p w:rsidR="00B349C6" w:rsidRPr="00B349C6" w:rsidRDefault="00B349C6" w:rsidP="00B349C6">
      <w:pPr>
        <w:autoSpaceDE w:val="0"/>
        <w:autoSpaceDN w:val="0"/>
        <w:adjustRightInd w:val="0"/>
        <w:spacing w:after="0" w:line="240" w:lineRule="auto"/>
        <w:jc w:val="both"/>
        <w:rPr>
          <w:rFonts w:ascii="Traditional Arabic" w:hAnsi="Traditional Arabic" w:cs="Traditional Arabic"/>
          <w:sz w:val="28"/>
          <w:szCs w:val="28"/>
          <w:rtl/>
        </w:rPr>
      </w:pPr>
      <w:r w:rsidRPr="00B349C6">
        <w:rPr>
          <w:rFonts w:ascii="Traditional Arabic" w:hAnsi="Traditional Arabic" w:cs="Traditional Arabic" w:hint="cs"/>
          <w:sz w:val="28"/>
          <w:szCs w:val="28"/>
          <w:rtl/>
        </w:rPr>
        <w:t xml:space="preserve">بيان الهيئة المستحبة في السجود؛ لأنه لا يليق بالإنسان الذي كرمه الله وفضله أن يتشبه بالحيوان لا سيما في حالة الصلاة؛ لأن التشبه </w:t>
      </w:r>
      <w:r w:rsidRPr="00B349C6">
        <w:rPr>
          <w:rFonts w:ascii="Traditional Arabic" w:hAnsi="Traditional Arabic" w:cs="Traditional Arabic" w:hint="cs"/>
          <w:sz w:val="28"/>
          <w:szCs w:val="28"/>
          <w:rtl/>
        </w:rPr>
        <w:lastRenderedPageBreak/>
        <w:t>بالأشياء الخسيسة لا يناسب الصلاة مع ما في هذه الهيئة من قلة الاعتناء بالصلاة والتهاون بها.</w:t>
      </w:r>
    </w:p>
    <w:p w:rsidR="00B349C6" w:rsidRPr="00B349C6" w:rsidRDefault="00B349C6" w:rsidP="00B349C6">
      <w:pPr>
        <w:spacing w:after="0" w:line="240" w:lineRule="auto"/>
        <w:contextualSpacing/>
        <w:jc w:val="both"/>
        <w:rPr>
          <w:rFonts w:ascii="Traditional Arabic" w:hAnsi="Traditional Arabic" w:cs="Traditional Arabic"/>
          <w:sz w:val="16"/>
          <w:szCs w:val="16"/>
          <w:rtl/>
        </w:rPr>
      </w:pPr>
    </w:p>
    <w:p w:rsidR="00B349C6" w:rsidRPr="00B349C6" w:rsidRDefault="00B349C6" w:rsidP="009B6F90">
      <w:pPr>
        <w:spacing w:after="0" w:line="240" w:lineRule="auto"/>
        <w:jc w:val="both"/>
        <w:rPr>
          <w:rFonts w:ascii="Traditional Arabic" w:hAnsi="Traditional Arabic" w:cs="Traditional Arabic"/>
          <w:sz w:val="28"/>
          <w:szCs w:val="28"/>
          <w:rtl/>
        </w:rPr>
      </w:pPr>
      <w:r w:rsidRPr="00B349C6">
        <w:rPr>
          <w:rFonts w:ascii="Traditional Arabic" w:hAnsi="Traditional Arabic" w:cs="Traditional Arabic" w:hint="cs"/>
          <w:sz w:val="28"/>
          <w:szCs w:val="28"/>
          <w:rtl/>
        </w:rPr>
        <w:t xml:space="preserve">     وهناك أنواع أخرى من الحيوانات نهى الشارع الحكيم  عن التشبه بها في حالة الصلاة؛ فقد ثبت النهي عن نقر كنقر الديك، والغراب، والتفات كالتفات الثعلب، وافتراش كافراتش السبع، ، وهذا يدل على تكريم المؤمن، ولذلك شبه </w:t>
      </w:r>
      <w:r>
        <w:rPr>
          <w:rFonts w:ascii="Traditional Arabic" w:hAnsi="Traditional Arabic" w:cs="Traditional Arabic" w:hint="cs"/>
          <w:sz w:val="28"/>
          <w:szCs w:val="28"/>
          <w:rtl/>
        </w:rPr>
        <w:t>الله الكفار بالأنعام بل هم أضل.</w:t>
      </w:r>
      <w:r w:rsidRPr="00B349C6">
        <w:rPr>
          <w:rFonts w:ascii="Traditional Arabic" w:hAnsi="Traditional Arabic" w:cs="Traditional Arabic" w:hint="cs"/>
          <w:sz w:val="28"/>
          <w:szCs w:val="28"/>
          <w:rtl/>
        </w:rPr>
        <w:t xml:space="preserve"> وقد أنشد بعض العلماء أبياتا جمع فيها النهي الوارد في التشبه المذكور:</w:t>
      </w:r>
    </w:p>
    <w:tbl>
      <w:tblPr>
        <w:tblpPr w:leftFromText="180" w:rightFromText="180" w:vertAnchor="text" w:horzAnchor="margin" w:tblpY="302"/>
        <w:bidiVisual/>
        <w:tblW w:w="4935" w:type="dxa"/>
        <w:tblLook w:val="04A0"/>
      </w:tblPr>
      <w:tblGrid>
        <w:gridCol w:w="2215"/>
        <w:gridCol w:w="2720"/>
      </w:tblGrid>
      <w:tr w:rsidR="00B349C6" w:rsidRPr="00B349C6" w:rsidTr="00B349C6">
        <w:trPr>
          <w:trHeight w:val="421"/>
        </w:trPr>
        <w:tc>
          <w:tcPr>
            <w:tcW w:w="2215" w:type="dxa"/>
            <w:vAlign w:val="center"/>
          </w:tcPr>
          <w:p w:rsidR="00B349C6" w:rsidRPr="00B349C6" w:rsidRDefault="00B349C6" w:rsidP="00B349C6">
            <w:pPr>
              <w:spacing w:after="0" w:line="240" w:lineRule="auto"/>
              <w:jc w:val="center"/>
              <w:rPr>
                <w:rFonts w:ascii="Traditional Arabic" w:hAnsi="Traditional Arabic" w:cs="Traditional Arabic"/>
                <w:sz w:val="28"/>
                <w:szCs w:val="28"/>
                <w:rtl/>
              </w:rPr>
            </w:pPr>
            <w:r w:rsidRPr="00B349C6">
              <w:rPr>
                <w:rFonts w:ascii="Traditional Arabic" w:hAnsi="Traditional Arabic" w:cs="Traditional Arabic" w:hint="cs"/>
                <w:sz w:val="28"/>
                <w:szCs w:val="28"/>
                <w:rtl/>
              </w:rPr>
              <w:t>إذا نحن قمنا في الصلاة فإننا</w:t>
            </w:r>
          </w:p>
        </w:tc>
        <w:tc>
          <w:tcPr>
            <w:tcW w:w="2720" w:type="dxa"/>
            <w:vAlign w:val="center"/>
          </w:tcPr>
          <w:p w:rsidR="00B349C6" w:rsidRPr="00B349C6" w:rsidRDefault="00B349C6" w:rsidP="00B349C6">
            <w:pPr>
              <w:spacing w:after="0" w:line="240" w:lineRule="auto"/>
              <w:jc w:val="center"/>
              <w:rPr>
                <w:rFonts w:ascii="Traditional Arabic" w:hAnsi="Traditional Arabic" w:cs="Traditional Arabic"/>
                <w:sz w:val="28"/>
                <w:szCs w:val="28"/>
                <w:rtl/>
              </w:rPr>
            </w:pPr>
            <w:r w:rsidRPr="00B349C6">
              <w:rPr>
                <w:rFonts w:ascii="Traditional Arabic" w:hAnsi="Traditional Arabic" w:cs="Traditional Arabic" w:hint="cs"/>
                <w:sz w:val="28"/>
                <w:szCs w:val="28"/>
                <w:rtl/>
              </w:rPr>
              <w:t>نهينا عــن الإتيــان فيـهـا بســــــــــتة</w:t>
            </w:r>
          </w:p>
        </w:tc>
      </w:tr>
      <w:tr w:rsidR="00B349C6" w:rsidRPr="00B349C6" w:rsidTr="00B349C6">
        <w:trPr>
          <w:trHeight w:val="421"/>
        </w:trPr>
        <w:tc>
          <w:tcPr>
            <w:tcW w:w="2215" w:type="dxa"/>
            <w:vAlign w:val="center"/>
          </w:tcPr>
          <w:p w:rsidR="00B349C6" w:rsidRPr="00B349C6" w:rsidRDefault="00B349C6" w:rsidP="00B349C6">
            <w:pPr>
              <w:spacing w:after="0" w:line="240" w:lineRule="auto"/>
              <w:jc w:val="center"/>
              <w:rPr>
                <w:rFonts w:ascii="Traditional Arabic" w:hAnsi="Traditional Arabic" w:cs="Traditional Arabic"/>
                <w:sz w:val="28"/>
                <w:szCs w:val="28"/>
                <w:rtl/>
              </w:rPr>
            </w:pPr>
            <w:r w:rsidRPr="00B349C6">
              <w:rPr>
                <w:rFonts w:ascii="Traditional Arabic" w:hAnsi="Traditional Arabic" w:cs="Traditional Arabic" w:hint="cs"/>
                <w:sz w:val="28"/>
                <w:szCs w:val="28"/>
                <w:rtl/>
              </w:rPr>
              <w:t>بروك بعير والتفات كثعلـــــب</w:t>
            </w:r>
          </w:p>
        </w:tc>
        <w:tc>
          <w:tcPr>
            <w:tcW w:w="2720" w:type="dxa"/>
            <w:vAlign w:val="center"/>
          </w:tcPr>
          <w:p w:rsidR="00B349C6" w:rsidRPr="00B349C6" w:rsidRDefault="00B349C6" w:rsidP="00B349C6">
            <w:pPr>
              <w:spacing w:after="0" w:line="240" w:lineRule="auto"/>
              <w:jc w:val="center"/>
              <w:rPr>
                <w:rFonts w:ascii="Traditional Arabic" w:hAnsi="Traditional Arabic" w:cs="Traditional Arabic"/>
                <w:sz w:val="28"/>
                <w:szCs w:val="28"/>
                <w:rtl/>
              </w:rPr>
            </w:pPr>
            <w:r w:rsidRPr="00B349C6">
              <w:rPr>
                <w:rFonts w:ascii="Traditional Arabic" w:hAnsi="Traditional Arabic" w:cs="Traditional Arabic" w:hint="cs"/>
                <w:sz w:val="28"/>
                <w:szCs w:val="28"/>
                <w:rtl/>
              </w:rPr>
              <w:t>ونقر غراب في سجود الفريضة</w:t>
            </w:r>
          </w:p>
        </w:tc>
      </w:tr>
      <w:tr w:rsidR="00B349C6" w:rsidRPr="00B349C6" w:rsidTr="00B349C6">
        <w:trPr>
          <w:trHeight w:val="421"/>
        </w:trPr>
        <w:tc>
          <w:tcPr>
            <w:tcW w:w="2215" w:type="dxa"/>
            <w:vAlign w:val="center"/>
          </w:tcPr>
          <w:p w:rsidR="00B349C6" w:rsidRPr="00B349C6" w:rsidRDefault="00B349C6" w:rsidP="00B349C6">
            <w:pPr>
              <w:spacing w:after="0" w:line="240" w:lineRule="auto"/>
              <w:jc w:val="center"/>
              <w:rPr>
                <w:rFonts w:ascii="Traditional Arabic" w:hAnsi="Traditional Arabic" w:cs="Traditional Arabic"/>
                <w:sz w:val="28"/>
                <w:szCs w:val="28"/>
                <w:rtl/>
              </w:rPr>
            </w:pPr>
            <w:r w:rsidRPr="00B349C6">
              <w:rPr>
                <w:rFonts w:ascii="Traditional Arabic" w:hAnsi="Traditional Arabic" w:cs="Traditional Arabic" w:hint="cs"/>
                <w:sz w:val="28"/>
                <w:szCs w:val="28"/>
                <w:rtl/>
              </w:rPr>
              <w:t>وإقعاء كلب أو كبسط ذراعه</w:t>
            </w:r>
          </w:p>
        </w:tc>
        <w:tc>
          <w:tcPr>
            <w:tcW w:w="2720" w:type="dxa"/>
            <w:vAlign w:val="center"/>
          </w:tcPr>
          <w:p w:rsidR="00B349C6" w:rsidRPr="00B349C6" w:rsidRDefault="00B349C6" w:rsidP="00B349C6">
            <w:pPr>
              <w:spacing w:after="0" w:line="240" w:lineRule="auto"/>
              <w:jc w:val="center"/>
              <w:rPr>
                <w:rFonts w:ascii="Traditional Arabic" w:hAnsi="Traditional Arabic" w:cs="Traditional Arabic"/>
                <w:sz w:val="28"/>
                <w:szCs w:val="28"/>
                <w:rtl/>
              </w:rPr>
            </w:pPr>
            <w:r w:rsidRPr="00B349C6">
              <w:rPr>
                <w:rFonts w:ascii="Traditional Arabic" w:hAnsi="Traditional Arabic" w:cs="Traditional Arabic" w:hint="cs"/>
                <w:sz w:val="28"/>
                <w:szCs w:val="28"/>
                <w:rtl/>
              </w:rPr>
              <w:t xml:space="preserve">  وأذناب الخيل عن فعل التحية</w:t>
            </w:r>
            <w:r w:rsidRPr="00B349C6">
              <w:rPr>
                <w:rFonts w:asciiTheme="minorBidi" w:hAnsiTheme="minorBidi"/>
                <w:b/>
                <w:bCs/>
                <w:sz w:val="28"/>
                <w:szCs w:val="28"/>
                <w:vertAlign w:val="superscript"/>
                <w:rtl/>
              </w:rPr>
              <w:t>(</w:t>
            </w:r>
            <w:r w:rsidRPr="00B349C6">
              <w:rPr>
                <w:rStyle w:val="a4"/>
                <w:rFonts w:asciiTheme="minorBidi" w:hAnsiTheme="minorBidi"/>
                <w:sz w:val="28"/>
                <w:szCs w:val="28"/>
                <w:rtl/>
              </w:rPr>
              <w:footnoteReference w:id="2"/>
            </w:r>
            <w:r w:rsidRPr="00B349C6">
              <w:rPr>
                <w:rFonts w:asciiTheme="minorBidi" w:hAnsiTheme="minorBidi"/>
                <w:b/>
                <w:bCs/>
                <w:sz w:val="28"/>
                <w:szCs w:val="28"/>
                <w:vertAlign w:val="superscript"/>
                <w:rtl/>
              </w:rPr>
              <w:t>)</w:t>
            </w:r>
          </w:p>
        </w:tc>
      </w:tr>
    </w:tbl>
    <w:p w:rsidR="00B349C6" w:rsidRDefault="00B349C6" w:rsidP="00B349C6">
      <w:pPr>
        <w:spacing w:after="0" w:line="240" w:lineRule="auto"/>
        <w:jc w:val="both"/>
        <w:rPr>
          <w:rFonts w:ascii="Traditional Arabic" w:hAnsi="Traditional Arabic" w:cs="Traditional Arabic"/>
          <w:sz w:val="36"/>
          <w:szCs w:val="36"/>
          <w:rtl/>
        </w:rPr>
      </w:pPr>
    </w:p>
    <w:p w:rsidR="00B349C6" w:rsidRDefault="00B349C6" w:rsidP="00B349C6">
      <w:pPr>
        <w:spacing w:after="0" w:line="240" w:lineRule="auto"/>
        <w:jc w:val="both"/>
        <w:rPr>
          <w:rFonts w:ascii="Traditional Arabic" w:hAnsi="Traditional Arabic" w:cs="Traditional Arabic"/>
          <w:sz w:val="36"/>
          <w:szCs w:val="36"/>
          <w:rtl/>
        </w:rPr>
      </w:pPr>
    </w:p>
    <w:p w:rsidR="00B349C6" w:rsidRDefault="00B349C6" w:rsidP="00B349C6">
      <w:pPr>
        <w:spacing w:after="0" w:line="240" w:lineRule="auto"/>
        <w:jc w:val="both"/>
        <w:rPr>
          <w:rFonts w:ascii="Traditional Arabic" w:hAnsi="Traditional Arabic" w:cs="Traditional Arabic"/>
          <w:sz w:val="36"/>
          <w:szCs w:val="36"/>
          <w:rtl/>
        </w:rPr>
      </w:pPr>
    </w:p>
    <w:p w:rsidR="00B349C6" w:rsidRPr="007C5247" w:rsidRDefault="00B349C6" w:rsidP="00B349C6">
      <w:pPr>
        <w:spacing w:after="0" w:line="240" w:lineRule="auto"/>
        <w:jc w:val="both"/>
        <w:rPr>
          <w:rFonts w:ascii="Traditional Arabic" w:hAnsi="Traditional Arabic" w:cs="Traditional Arabic"/>
          <w:sz w:val="36"/>
          <w:szCs w:val="36"/>
          <w:rtl/>
        </w:rPr>
      </w:pPr>
    </w:p>
    <w:p w:rsidR="00B349C6" w:rsidRPr="007C5247" w:rsidRDefault="00B349C6" w:rsidP="00B349C6">
      <w:pPr>
        <w:spacing w:after="0" w:line="240" w:lineRule="auto"/>
        <w:jc w:val="both"/>
        <w:rPr>
          <w:rFonts w:ascii="Traditional Arabic" w:hAnsi="Traditional Arabic" w:cs="Traditional Arabic"/>
          <w:sz w:val="20"/>
          <w:szCs w:val="20"/>
          <w:rtl/>
        </w:rPr>
      </w:pPr>
      <w:r w:rsidRPr="007C5247">
        <w:rPr>
          <w:rFonts w:ascii="Traditional Arabic" w:hAnsi="Traditional Arabic" w:cs="Traditional Arabic" w:hint="cs"/>
          <w:sz w:val="36"/>
          <w:szCs w:val="36"/>
          <w:rtl/>
        </w:rPr>
        <w:t xml:space="preserve"> </w:t>
      </w:r>
    </w:p>
    <w:p w:rsidR="00B349C6" w:rsidRDefault="00B349C6" w:rsidP="004F41FE">
      <w:pPr>
        <w:spacing w:after="0" w:line="240" w:lineRule="auto"/>
        <w:rPr>
          <w:rFonts w:ascii="Traditional Arabic" w:hAnsi="Traditional Arabic" w:cs="Traditional Arabic"/>
          <w:sz w:val="36"/>
          <w:szCs w:val="36"/>
          <w:rtl/>
        </w:rPr>
        <w:sectPr w:rsidR="00B349C6" w:rsidSect="00B349C6">
          <w:type w:val="continuous"/>
          <w:pgSz w:w="11906" w:h="16838"/>
          <w:pgMar w:top="720" w:right="720" w:bottom="720" w:left="720" w:header="708" w:footer="708" w:gutter="0"/>
          <w:cols w:num="2" w:space="708"/>
          <w:bidi/>
          <w:rtlGutter/>
          <w:docGrid w:linePitch="360"/>
        </w:sectPr>
      </w:pPr>
    </w:p>
    <w:p w:rsidR="00B349C6" w:rsidRDefault="00B349C6" w:rsidP="00B349C6">
      <w:pPr>
        <w:autoSpaceDE w:val="0"/>
        <w:autoSpaceDN w:val="0"/>
        <w:adjustRightInd w:val="0"/>
        <w:spacing w:after="0" w:line="240" w:lineRule="auto"/>
        <w:rPr>
          <w:sz w:val="18"/>
          <w:szCs w:val="18"/>
          <w:rtl/>
        </w:rPr>
        <w:sectPr w:rsidR="00B349C6" w:rsidSect="00B349C6">
          <w:type w:val="continuous"/>
          <w:pgSz w:w="11906" w:h="16838"/>
          <w:pgMar w:top="720" w:right="720" w:bottom="720" w:left="720" w:header="708" w:footer="708" w:gutter="0"/>
          <w:cols w:num="2" w:space="708"/>
          <w:bidi/>
          <w:rtlGutter/>
          <w:docGrid w:linePitch="360"/>
        </w:sectPr>
      </w:pPr>
    </w:p>
    <w:p w:rsidR="00FE65BA" w:rsidRPr="00B349C6" w:rsidRDefault="00FE643A" w:rsidP="00B349C6">
      <w:pPr>
        <w:autoSpaceDE w:val="0"/>
        <w:autoSpaceDN w:val="0"/>
        <w:adjustRightInd w:val="0"/>
        <w:spacing w:after="0" w:line="240" w:lineRule="auto"/>
        <w:rPr>
          <w:sz w:val="18"/>
          <w:szCs w:val="18"/>
        </w:rPr>
      </w:pPr>
    </w:p>
    <w:sectPr w:rsidR="00FE65BA" w:rsidRPr="00B349C6" w:rsidSect="00B349C6">
      <w:type w:val="continuous"/>
      <w:pgSz w:w="11906" w:h="16838"/>
      <w:pgMar w:top="720" w:right="720" w:bottom="720" w:left="720" w:header="708" w:footer="708"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43A" w:rsidRDefault="00FE643A" w:rsidP="00B349C6">
      <w:pPr>
        <w:spacing w:after="0" w:line="240" w:lineRule="auto"/>
      </w:pPr>
      <w:r>
        <w:separator/>
      </w:r>
    </w:p>
  </w:endnote>
  <w:endnote w:type="continuationSeparator" w:id="0">
    <w:p w:rsidR="00FE643A" w:rsidRDefault="00FE643A" w:rsidP="00B34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43A" w:rsidRDefault="00FE643A" w:rsidP="00B349C6">
      <w:pPr>
        <w:spacing w:after="0" w:line="240" w:lineRule="auto"/>
      </w:pPr>
      <w:r>
        <w:separator/>
      </w:r>
    </w:p>
  </w:footnote>
  <w:footnote w:type="continuationSeparator" w:id="0">
    <w:p w:rsidR="00FE643A" w:rsidRDefault="00FE643A" w:rsidP="00B349C6">
      <w:pPr>
        <w:spacing w:after="0" w:line="240" w:lineRule="auto"/>
      </w:pPr>
      <w:r>
        <w:continuationSeparator/>
      </w:r>
    </w:p>
  </w:footnote>
  <w:footnote w:id="1">
    <w:p w:rsidR="00B349C6" w:rsidRPr="00B349C6" w:rsidRDefault="00B349C6" w:rsidP="00B349C6">
      <w:pPr>
        <w:autoSpaceDE w:val="0"/>
        <w:autoSpaceDN w:val="0"/>
        <w:adjustRightInd w:val="0"/>
        <w:spacing w:after="0" w:line="240" w:lineRule="auto"/>
        <w:jc w:val="both"/>
        <w:rPr>
          <w:rFonts w:ascii="Traditional Arabic" w:hAnsi="Traditional Arabic" w:cs="Traditional Arabic"/>
          <w:sz w:val="20"/>
          <w:szCs w:val="20"/>
          <w:rtl/>
        </w:rPr>
      </w:pPr>
      <w:r w:rsidRPr="00B349C6">
        <w:rPr>
          <w:rFonts w:ascii="Traditional Arabic" w:hAnsi="Traditional Arabic" w:cs="Traditional Arabic" w:hint="cs"/>
          <w:sz w:val="20"/>
          <w:szCs w:val="20"/>
          <w:rtl/>
        </w:rPr>
        <w:t>(</w:t>
      </w:r>
      <w:r w:rsidRPr="00B349C6">
        <w:rPr>
          <w:rStyle w:val="a4"/>
          <w:rFonts w:ascii="Traditional Arabic" w:hAnsi="Traditional Arabic"/>
          <w:sz w:val="20"/>
          <w:szCs w:val="20"/>
          <w:vertAlign w:val="baseline"/>
        </w:rPr>
        <w:footnoteRef/>
      </w:r>
      <w:r w:rsidRPr="00B349C6">
        <w:rPr>
          <w:rFonts w:ascii="Traditional Arabic" w:hAnsi="Traditional Arabic" w:cs="Traditional Arabic" w:hint="cs"/>
          <w:sz w:val="20"/>
          <w:szCs w:val="20"/>
          <w:rtl/>
        </w:rPr>
        <w:t>)</w:t>
      </w:r>
      <w:r w:rsidRPr="00B349C6">
        <w:rPr>
          <w:rFonts w:ascii="Traditional Arabic" w:hAnsi="Traditional Arabic" w:cs="Traditional Arabic" w:hint="cs"/>
          <w:b/>
          <w:bCs/>
          <w:sz w:val="20"/>
          <w:szCs w:val="20"/>
          <w:rtl/>
        </w:rPr>
        <w:t xml:space="preserve"> </w:t>
      </w:r>
      <w:r w:rsidRPr="00B349C6">
        <w:rPr>
          <w:rFonts w:ascii="Traditional Arabic" w:hAnsi="Traditional Arabic" w:cs="Traditional Arabic"/>
          <w:b/>
          <w:bCs/>
          <w:sz w:val="20"/>
          <w:szCs w:val="20"/>
          <w:rtl/>
        </w:rPr>
        <w:t xml:space="preserve"> </w:t>
      </w:r>
      <w:r w:rsidRPr="00B349C6">
        <w:rPr>
          <w:rFonts w:ascii="Traditional Arabic" w:hAnsi="Traditional Arabic" w:cs="Traditional Arabic" w:hint="cs"/>
          <w:b/>
          <w:bCs/>
          <w:sz w:val="20"/>
          <w:szCs w:val="20"/>
          <w:u w:val="single"/>
          <w:rtl/>
        </w:rPr>
        <w:t>أخرجه مسلم في صححه</w:t>
      </w:r>
      <w:r w:rsidRPr="00B349C6">
        <w:rPr>
          <w:rFonts w:ascii="Traditional Arabic" w:hAnsi="Traditional Arabic" w:cs="Traditional Arabic" w:hint="cs"/>
          <w:sz w:val="20"/>
          <w:szCs w:val="20"/>
          <w:rtl/>
        </w:rPr>
        <w:t>،</w:t>
      </w:r>
      <w:r w:rsidRPr="00B349C6">
        <w:rPr>
          <w:rFonts w:ascii="Traditional Arabic" w:hAnsi="Traditional Arabic" w:cs="Traditional Arabic" w:hint="cs"/>
          <w:b/>
          <w:bCs/>
          <w:sz w:val="20"/>
          <w:szCs w:val="20"/>
          <w:rtl/>
        </w:rPr>
        <w:t xml:space="preserve"> </w:t>
      </w:r>
      <w:r w:rsidRPr="00B349C6">
        <w:rPr>
          <w:rFonts w:ascii="Traditional Arabic" w:hAnsi="Traditional Arabic" w:cs="Traditional Arabic" w:hint="cs"/>
          <w:sz w:val="20"/>
          <w:szCs w:val="20"/>
          <w:rtl/>
        </w:rPr>
        <w:t xml:space="preserve">كتاب الصلاة، </w:t>
      </w:r>
      <w:r w:rsidRPr="00B349C6">
        <w:rPr>
          <w:rFonts w:ascii="Traditional Arabic" w:hAnsi="Traditional Arabic" w:cs="Traditional Arabic"/>
          <w:sz w:val="20"/>
          <w:szCs w:val="20"/>
          <w:rtl/>
        </w:rPr>
        <w:t>باب</w:t>
      </w:r>
      <w:r w:rsidRPr="00B349C6">
        <w:rPr>
          <w:rFonts w:ascii="Traditional Arabic" w:hAnsi="Traditional Arabic" w:cs="Traditional Arabic" w:hint="cs"/>
          <w:sz w:val="20"/>
          <w:szCs w:val="20"/>
          <w:rtl/>
        </w:rPr>
        <w:t>:</w:t>
      </w:r>
      <w:r w:rsidRPr="00B349C6">
        <w:rPr>
          <w:rFonts w:ascii="Traditional Arabic" w:hAnsi="Traditional Arabic" w:cs="Traditional Arabic"/>
          <w:sz w:val="20"/>
          <w:szCs w:val="20"/>
          <w:rtl/>
        </w:rPr>
        <w:t xml:space="preserve"> الاعتدال في السجود، ووضع الكفين على الأرض ورفع المرفقين عن الجنبين، ورفع البطن عن الفخذين في السجود </w:t>
      </w:r>
      <w:r w:rsidRPr="00B349C6">
        <w:rPr>
          <w:rFonts w:ascii="Traditional Arabic" w:hAnsi="Traditional Arabic" w:cs="Traditional Arabic" w:hint="cs"/>
          <w:sz w:val="20"/>
          <w:szCs w:val="20"/>
          <w:rtl/>
        </w:rPr>
        <w:t>[المجلد الأول/ ص:356] رقم الحديث [494].</w:t>
      </w:r>
    </w:p>
  </w:footnote>
  <w:footnote w:id="2">
    <w:p w:rsidR="00B349C6" w:rsidRPr="009B6F90" w:rsidRDefault="00B349C6" w:rsidP="00B349C6">
      <w:pPr>
        <w:spacing w:after="0" w:line="240" w:lineRule="auto"/>
        <w:jc w:val="both"/>
        <w:rPr>
          <w:rFonts w:ascii="Traditional Arabic" w:hAnsi="Traditional Arabic" w:cs="Traditional Arabic"/>
          <w:sz w:val="20"/>
          <w:szCs w:val="20"/>
          <w:rtl/>
        </w:rPr>
      </w:pPr>
      <w:r w:rsidRPr="009B6F90">
        <w:rPr>
          <w:rFonts w:ascii="Traditional Arabic" w:hAnsi="Traditional Arabic" w:cs="Traditional Arabic" w:hint="cs"/>
          <w:b/>
          <w:bCs/>
          <w:sz w:val="20"/>
          <w:szCs w:val="20"/>
          <w:rtl/>
        </w:rPr>
        <w:t>(</w:t>
      </w:r>
      <w:r w:rsidRPr="009B6F90">
        <w:rPr>
          <w:rStyle w:val="a4"/>
          <w:rFonts w:ascii="Traditional Arabic" w:hAnsi="Traditional Arabic"/>
          <w:sz w:val="20"/>
          <w:szCs w:val="20"/>
          <w:vertAlign w:val="baseline"/>
        </w:rPr>
        <w:footnoteRef/>
      </w:r>
      <w:r w:rsidRPr="009B6F90">
        <w:rPr>
          <w:rFonts w:ascii="Traditional Arabic" w:hAnsi="Traditional Arabic" w:cs="Traditional Arabic" w:hint="cs"/>
          <w:b/>
          <w:bCs/>
          <w:sz w:val="20"/>
          <w:szCs w:val="20"/>
          <w:rtl/>
        </w:rPr>
        <w:t xml:space="preserve">) </w:t>
      </w:r>
      <w:r w:rsidRPr="009B6F90">
        <w:rPr>
          <w:rFonts w:ascii="Traditional Arabic" w:hAnsi="Traditional Arabic" w:cs="Traditional Arabic" w:hint="cs"/>
          <w:sz w:val="20"/>
          <w:szCs w:val="20"/>
          <w:rtl/>
        </w:rPr>
        <w:t>انظر:</w:t>
      </w:r>
      <w:r w:rsidRPr="009B6F90">
        <w:rPr>
          <w:rFonts w:ascii="Traditional Arabic" w:hAnsi="Traditional Arabic" w:cs="Traditional Arabic" w:hint="cs"/>
          <w:b/>
          <w:bCs/>
          <w:sz w:val="20"/>
          <w:szCs w:val="20"/>
          <w:rtl/>
        </w:rPr>
        <w:t xml:space="preserve"> </w:t>
      </w:r>
      <w:r w:rsidRPr="009B6F90">
        <w:rPr>
          <w:rFonts w:ascii="Traditional Arabic" w:hAnsi="Traditional Arabic" w:cs="Traditional Arabic"/>
          <w:color w:val="000000"/>
          <w:sz w:val="20"/>
          <w:szCs w:val="20"/>
          <w:rtl/>
        </w:rPr>
        <w:t>الحريملي</w:t>
      </w:r>
      <w:r w:rsidRPr="009B6F90">
        <w:rPr>
          <w:rFonts w:ascii="Traditional Arabic" w:hAnsi="Traditional Arabic" w:cs="Traditional Arabic" w:hint="cs"/>
          <w:color w:val="000000"/>
          <w:sz w:val="20"/>
          <w:szCs w:val="20"/>
          <w:rtl/>
        </w:rPr>
        <w:t>،</w:t>
      </w:r>
      <w:r w:rsidRPr="009B6F90">
        <w:rPr>
          <w:rFonts w:ascii="Traditional Arabic" w:hAnsi="Traditional Arabic" w:cs="Traditional Arabic"/>
          <w:color w:val="000000"/>
          <w:sz w:val="20"/>
          <w:szCs w:val="20"/>
          <w:rtl/>
        </w:rPr>
        <w:t xml:space="preserve"> فيصل بن عبد العزيز بن فيصل </w:t>
      </w:r>
      <w:r w:rsidRPr="009B6F90">
        <w:rPr>
          <w:rFonts w:ascii="Traditional Arabic" w:hAnsi="Traditional Arabic" w:cs="Traditional Arabic" w:hint="cs"/>
          <w:b/>
          <w:bCs/>
          <w:sz w:val="20"/>
          <w:szCs w:val="20"/>
          <w:u w:val="single"/>
          <w:rtl/>
        </w:rPr>
        <w:t>خلاصة الكلام على عمد الأحكام</w:t>
      </w:r>
      <w:r w:rsidRPr="009B6F90">
        <w:rPr>
          <w:rFonts w:ascii="Traditional Arabic" w:hAnsi="Traditional Arabic" w:cs="Traditional Arabic" w:hint="cs"/>
          <w:sz w:val="20"/>
          <w:szCs w:val="20"/>
          <w:rtl/>
        </w:rPr>
        <w:t>[ص: 78 ] بدون دار. ط.2. 1412هــ.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49C6"/>
    <w:rsid w:val="00412900"/>
    <w:rsid w:val="004F41FE"/>
    <w:rsid w:val="007449DB"/>
    <w:rsid w:val="00750D88"/>
    <w:rsid w:val="00815187"/>
    <w:rsid w:val="008556D7"/>
    <w:rsid w:val="00863421"/>
    <w:rsid w:val="008A6590"/>
    <w:rsid w:val="009B6F90"/>
    <w:rsid w:val="00B349C6"/>
    <w:rsid w:val="00F729AB"/>
    <w:rsid w:val="00FE64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C6"/>
    <w:pPr>
      <w:bidi/>
    </w:pPr>
  </w:style>
  <w:style w:type="paragraph" w:styleId="1">
    <w:name w:val="heading 1"/>
    <w:basedOn w:val="a"/>
    <w:next w:val="a0"/>
    <w:link w:val="1Char"/>
    <w:qFormat/>
    <w:rsid w:val="00B349C6"/>
    <w:pPr>
      <w:keepNext/>
      <w:keepLines/>
      <w:numPr>
        <w:numId w:val="1"/>
      </w:numPr>
      <w:tabs>
        <w:tab w:val="left" w:pos="216"/>
        <w:tab w:val="left" w:pos="283"/>
        <w:tab w:val="left" w:pos="340"/>
        <w:tab w:val="left" w:pos="397"/>
      </w:tabs>
      <w:suppressAutoHyphens/>
      <w:bidi w:val="0"/>
      <w:spacing w:before="160" w:after="80" w:line="240" w:lineRule="auto"/>
      <w:jc w:val="center"/>
      <w:outlineLvl w:val="0"/>
    </w:pPr>
    <w:rPr>
      <w:rFonts w:ascii="Times New Roman" w:eastAsia="SimSun" w:hAnsi="Times New Roman" w:cs="Times New Roman"/>
      <w:smallCap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rsid w:val="00B349C6"/>
    <w:rPr>
      <w:vertAlign w:val="superscript"/>
    </w:rPr>
  </w:style>
  <w:style w:type="paragraph" w:customStyle="1" w:styleId="Affiliation">
    <w:name w:val="Affiliation"/>
    <w:rsid w:val="00B349C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papersubtitle">
    <w:name w:val="paper subtitle"/>
    <w:rsid w:val="00B349C6"/>
    <w:pPr>
      <w:suppressAutoHyphens/>
      <w:spacing w:after="120" w:line="240" w:lineRule="auto"/>
      <w:jc w:val="center"/>
    </w:pPr>
    <w:rPr>
      <w:rFonts w:ascii="Times New Roman" w:eastAsia="MS Mincho" w:hAnsi="Times New Roman" w:cs="Times New Roman"/>
      <w:sz w:val="28"/>
      <w:szCs w:val="28"/>
    </w:rPr>
  </w:style>
  <w:style w:type="character" w:customStyle="1" w:styleId="1Char">
    <w:name w:val="عنوان 1 Char"/>
    <w:basedOn w:val="a1"/>
    <w:link w:val="1"/>
    <w:rsid w:val="00B349C6"/>
    <w:rPr>
      <w:rFonts w:ascii="Times New Roman" w:eastAsia="SimSun" w:hAnsi="Times New Roman" w:cs="Times New Roman"/>
      <w:smallCaps/>
      <w:sz w:val="20"/>
      <w:szCs w:val="20"/>
    </w:rPr>
  </w:style>
  <w:style w:type="paragraph" w:customStyle="1" w:styleId="keywords">
    <w:name w:val="key words"/>
    <w:rsid w:val="00B349C6"/>
    <w:pPr>
      <w:suppressAutoHyphens/>
      <w:spacing w:after="120" w:line="240" w:lineRule="auto"/>
      <w:ind w:firstLine="288"/>
      <w:jc w:val="both"/>
    </w:pPr>
    <w:rPr>
      <w:rFonts w:ascii="Times New Roman" w:eastAsia="SimSun" w:hAnsi="Times New Roman" w:cs="Times New Roman"/>
      <w:b/>
      <w:bCs/>
      <w:iCs/>
      <w:sz w:val="18"/>
      <w:szCs w:val="18"/>
    </w:rPr>
  </w:style>
  <w:style w:type="paragraph" w:styleId="a0">
    <w:name w:val="Body Text"/>
    <w:basedOn w:val="a"/>
    <w:link w:val="Char"/>
    <w:uiPriority w:val="99"/>
    <w:semiHidden/>
    <w:unhideWhenUsed/>
    <w:rsid w:val="00B349C6"/>
    <w:pPr>
      <w:spacing w:after="120"/>
    </w:pPr>
  </w:style>
  <w:style w:type="character" w:customStyle="1" w:styleId="Char">
    <w:name w:val="نص أساسي Char"/>
    <w:basedOn w:val="a1"/>
    <w:link w:val="a0"/>
    <w:uiPriority w:val="99"/>
    <w:semiHidden/>
    <w:rsid w:val="00B349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237</Words>
  <Characters>1355</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المقدمة</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Perosnal</dc:creator>
  <cp:lastModifiedBy>hala</cp:lastModifiedBy>
  <cp:revision>6</cp:revision>
  <dcterms:created xsi:type="dcterms:W3CDTF">2013-06-07T13:04:00Z</dcterms:created>
  <dcterms:modified xsi:type="dcterms:W3CDTF">2013-06-19T15:46:00Z</dcterms:modified>
</cp:coreProperties>
</file>