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097914" w:rsidP="00097914">
      <w:pPr>
        <w:pStyle w:val="papersubtitle"/>
        <w:bidi/>
        <w:rPr>
          <w:i/>
          <w:iCs/>
          <w:sz w:val="48"/>
          <w:szCs w:val="48"/>
          <w:rtl/>
        </w:rPr>
      </w:pPr>
      <w:r w:rsidRPr="00097914">
        <w:rPr>
          <w:rFonts w:hint="cs"/>
          <w:i/>
          <w:iCs/>
          <w:sz w:val="48"/>
          <w:szCs w:val="48"/>
          <w:rtl/>
        </w:rPr>
        <w:t>"</w:t>
      </w:r>
      <w:r w:rsidRPr="00097914">
        <w:rPr>
          <w:i/>
          <w:iCs/>
          <w:sz w:val="48"/>
          <w:szCs w:val="48"/>
          <w:rtl/>
        </w:rPr>
        <w:t>سبحان الله</w:t>
      </w:r>
      <w:r w:rsidRPr="00097914">
        <w:rPr>
          <w:rFonts w:hint="cs"/>
          <w:i/>
          <w:iCs/>
          <w:sz w:val="48"/>
          <w:szCs w:val="48"/>
          <w:rtl/>
        </w:rPr>
        <w:t>"</w:t>
      </w:r>
      <w:r w:rsidRPr="00097914">
        <w:rPr>
          <w:i/>
          <w:iCs/>
          <w:sz w:val="48"/>
          <w:szCs w:val="48"/>
          <w:rtl/>
        </w:rPr>
        <w:t xml:space="preserve"> وما جرى مجراه</w:t>
      </w:r>
      <w:r w:rsidRPr="00851FA1">
        <w:rPr>
          <w:rFonts w:hint="cs"/>
          <w:i/>
          <w:iCs/>
          <w:sz w:val="48"/>
          <w:szCs w:val="48"/>
          <w:rtl/>
        </w:rPr>
        <w:t xml:space="preserve"> </w:t>
      </w:r>
    </w:p>
    <w:p w:rsidR="00FD7D36" w:rsidRDefault="000C4416" w:rsidP="00C11B64">
      <w:pPr>
        <w:pStyle w:val="papersubtitle"/>
        <w:bidi/>
        <w:rPr>
          <w:rtl/>
        </w:rPr>
      </w:pPr>
      <w:r>
        <w:rPr>
          <w:rFonts w:hint="cs"/>
          <w:i/>
          <w:iCs/>
          <w:rtl/>
        </w:rPr>
        <w:t>بحث في</w:t>
      </w:r>
      <w:r w:rsidR="00D01C0B">
        <w:rPr>
          <w:rFonts w:hint="cs"/>
          <w:i/>
          <w:iCs/>
          <w:rtl/>
        </w:rPr>
        <w:t xml:space="preserve"> </w:t>
      </w:r>
      <w:r w:rsidR="00D01C0B">
        <w:rPr>
          <w:i/>
          <w:iCs/>
        </w:rPr>
        <w:t xml:space="preserve"> </w:t>
      </w:r>
      <w:r w:rsidR="00C11B64">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C11B64">
      <w:pPr>
        <w:pStyle w:val="Affiliation"/>
        <w:bidi/>
      </w:pPr>
      <w:r>
        <w:rPr>
          <w:rFonts w:hint="cs"/>
          <w:i/>
          <w:iCs/>
          <w:rtl/>
        </w:rPr>
        <w:t xml:space="preserve">كلية </w:t>
      </w:r>
      <w:r w:rsidR="00C11B64">
        <w:rPr>
          <w:rFonts w:hint="cs"/>
          <w:i/>
          <w:iCs/>
          <w:rtl/>
        </w:rPr>
        <w:t>العلوم الاسلامية</w:t>
      </w:r>
      <w:r w:rsidR="00C11B64">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51FA1" w:rsidRDefault="00E5535F" w:rsidP="00097914">
      <w:pPr>
        <w:pStyle w:val="papersubtitle"/>
        <w:bidi/>
        <w:jc w:val="both"/>
        <w:rPr>
          <w:rFonts w:eastAsia="SimSun"/>
          <w:b/>
          <w:bCs/>
          <w:i/>
          <w:iCs/>
          <w:sz w:val="18"/>
          <w:szCs w:val="18"/>
          <w:rtl/>
          <w:lang w:eastAsia="zh-CN"/>
        </w:rPr>
      </w:pPr>
      <w:r w:rsidRPr="00851FA1">
        <w:rPr>
          <w:rFonts w:eastAsia="SimSun" w:hint="cs"/>
          <w:b/>
          <w:bCs/>
          <w:i/>
          <w:iCs/>
          <w:sz w:val="18"/>
          <w:szCs w:val="18"/>
          <w:rtl/>
          <w:lang w:eastAsia="zh-CN"/>
        </w:rPr>
        <w:lastRenderedPageBreak/>
        <w:t>خلاصة</w:t>
      </w:r>
      <w:r w:rsidR="00FD7D36" w:rsidRPr="00851FA1">
        <w:rPr>
          <w:rFonts w:eastAsia="SimSun"/>
          <w:b/>
          <w:bCs/>
          <w:i/>
          <w:iCs/>
          <w:sz w:val="18"/>
          <w:szCs w:val="18"/>
          <w:lang w:eastAsia="zh-CN"/>
        </w:rPr>
        <w:t>—</w:t>
      </w:r>
      <w:r w:rsidR="000C4416" w:rsidRPr="00851FA1">
        <w:rPr>
          <w:rFonts w:eastAsia="SimSun" w:hint="cs"/>
          <w:b/>
          <w:bCs/>
          <w:i/>
          <w:iCs/>
          <w:sz w:val="18"/>
          <w:szCs w:val="18"/>
          <w:rtl/>
          <w:lang w:eastAsia="zh-CN"/>
        </w:rPr>
        <w:t xml:space="preserve">هذا البحث يبحث في </w:t>
      </w:r>
      <w:r w:rsidR="00097914" w:rsidRPr="00097914">
        <w:rPr>
          <w:rFonts w:eastAsia="SimSun" w:hint="cs"/>
          <w:b/>
          <w:bCs/>
          <w:i/>
          <w:iCs/>
          <w:sz w:val="18"/>
          <w:szCs w:val="18"/>
          <w:rtl/>
          <w:lang w:eastAsia="zh-CN"/>
        </w:rPr>
        <w:t>"</w:t>
      </w:r>
      <w:r w:rsidR="00097914" w:rsidRPr="00097914">
        <w:rPr>
          <w:rFonts w:eastAsia="SimSun"/>
          <w:b/>
          <w:bCs/>
          <w:i/>
          <w:iCs/>
          <w:sz w:val="18"/>
          <w:szCs w:val="18"/>
          <w:rtl/>
          <w:lang w:eastAsia="zh-CN"/>
        </w:rPr>
        <w:t>سبحان الله</w:t>
      </w:r>
      <w:r w:rsidR="00097914" w:rsidRPr="00097914">
        <w:rPr>
          <w:rFonts w:eastAsia="SimSun" w:hint="cs"/>
          <w:b/>
          <w:bCs/>
          <w:i/>
          <w:iCs/>
          <w:sz w:val="18"/>
          <w:szCs w:val="18"/>
          <w:rtl/>
          <w:lang w:eastAsia="zh-CN"/>
        </w:rPr>
        <w:t>"</w:t>
      </w:r>
      <w:r w:rsidR="00097914" w:rsidRPr="00097914">
        <w:rPr>
          <w:rFonts w:eastAsia="SimSun"/>
          <w:b/>
          <w:bCs/>
          <w:i/>
          <w:iCs/>
          <w:sz w:val="18"/>
          <w:szCs w:val="18"/>
          <w:rtl/>
          <w:lang w:eastAsia="zh-CN"/>
        </w:rPr>
        <w:t xml:space="preserve"> وما جرى مجراه</w:t>
      </w:r>
      <w:r w:rsidR="00D919B7" w:rsidRPr="00851FA1">
        <w:rPr>
          <w:rFonts w:eastAsia="SimSun" w:hint="cs"/>
          <w:b/>
          <w:bCs/>
          <w:i/>
          <w:iCs/>
          <w:sz w:val="18"/>
          <w:szCs w:val="18"/>
          <w:rtl/>
          <w:lang w:eastAsia="zh-CN"/>
        </w:rPr>
        <w:t>.</w:t>
      </w:r>
    </w:p>
    <w:p w:rsidR="00FD7D36" w:rsidRDefault="00E5535F" w:rsidP="00097914">
      <w:pPr>
        <w:pStyle w:val="keywords"/>
        <w:bidi/>
        <w:ind w:firstLine="180"/>
        <w:rPr>
          <w:rtl/>
        </w:rPr>
      </w:pPr>
      <w:r>
        <w:rPr>
          <w:rFonts w:hint="cs"/>
          <w:i/>
          <w:rtl/>
          <w:lang w:eastAsia="zh-CN"/>
        </w:rPr>
        <w:t>الكلمات المفتاحية</w:t>
      </w:r>
      <w:r w:rsidR="0086006A">
        <w:rPr>
          <w:rFonts w:hint="cs"/>
          <w:i/>
          <w:rtl/>
          <w:lang w:eastAsia="zh-CN"/>
        </w:rPr>
        <w:t>:</w:t>
      </w:r>
      <w:r w:rsidR="008A63D5">
        <w:rPr>
          <w:rFonts w:hint="cs"/>
          <w:i/>
          <w:rtl/>
          <w:lang w:eastAsia="zh-CN"/>
        </w:rPr>
        <w:t xml:space="preserve"> </w:t>
      </w:r>
      <w:r w:rsidR="00FF79E5">
        <w:rPr>
          <w:rFonts w:hint="cs"/>
          <w:i/>
          <w:rtl/>
          <w:lang w:eastAsia="zh-CN"/>
        </w:rPr>
        <w:t>سبحان الله، الرفع، الالفاظ</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097914" w:rsidRDefault="00AE5DD6" w:rsidP="00097914">
      <w:pPr>
        <w:pStyle w:val="Abstract"/>
        <w:bidi/>
        <w:spacing w:after="0"/>
        <w:ind w:firstLine="173"/>
        <w:rPr>
          <w:rtl/>
          <w:lang w:eastAsia="en-US"/>
        </w:rPr>
      </w:pPr>
      <w:r w:rsidRPr="00661921">
        <w:rPr>
          <w:rFonts w:hint="cs"/>
          <w:rtl/>
          <w:lang w:eastAsia="en-US"/>
        </w:rPr>
        <w:t xml:space="preserve">معرفة </w:t>
      </w:r>
      <w:r w:rsidR="00444EE2" w:rsidRPr="00661921">
        <w:rPr>
          <w:rFonts w:hint="cs"/>
          <w:rtl/>
          <w:lang w:eastAsia="en-US"/>
        </w:rPr>
        <w:t xml:space="preserve">أسس </w:t>
      </w:r>
      <w:r w:rsidR="00097914" w:rsidRPr="00097914">
        <w:rPr>
          <w:rFonts w:hint="cs"/>
          <w:rtl/>
          <w:lang w:eastAsia="en-US"/>
        </w:rPr>
        <w:t>"</w:t>
      </w:r>
      <w:r w:rsidR="00097914" w:rsidRPr="00097914">
        <w:rPr>
          <w:rtl/>
          <w:lang w:eastAsia="en-US"/>
        </w:rPr>
        <w:t>سبحان الله</w:t>
      </w:r>
      <w:r w:rsidR="00097914" w:rsidRPr="00097914">
        <w:rPr>
          <w:rFonts w:hint="cs"/>
          <w:rtl/>
          <w:lang w:eastAsia="en-US"/>
        </w:rPr>
        <w:t>"</w:t>
      </w:r>
      <w:r w:rsidR="00097914" w:rsidRPr="00097914">
        <w:rPr>
          <w:rtl/>
          <w:lang w:eastAsia="en-US"/>
        </w:rPr>
        <w:t xml:space="preserve"> وما جرى مجراه</w:t>
      </w:r>
      <w:r w:rsidR="00FF79E5">
        <w:rPr>
          <w:rFonts w:hint="cs"/>
          <w:rtl/>
          <w:lang w:eastAsia="en-US"/>
        </w:rPr>
        <w:t xml:space="preserve"> وبيان الفرق الكبير فى المعانى بين "سبحان الله وريحانه"</w:t>
      </w:r>
      <w:r w:rsidR="00F52E5A">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395F4E" w:rsidRPr="00C06B50" w:rsidRDefault="00395F4E" w:rsidP="00C06B50">
      <w:pPr>
        <w:pStyle w:val="Abstract"/>
        <w:bidi/>
        <w:spacing w:after="0" w:line="240" w:lineRule="exact"/>
        <w:ind w:firstLine="173"/>
        <w:rPr>
          <w:rFonts w:hint="cs"/>
          <w:lang w:eastAsia="en-US"/>
        </w:rPr>
      </w:pPr>
      <w:r w:rsidRPr="00395F4E">
        <w:rPr>
          <w:rFonts w:hint="cs"/>
          <w:rtl/>
          <w:lang w:eastAsia="en-US"/>
        </w:rPr>
        <w:t xml:space="preserve">قال: المبرد، ومن كلامهم: "سبحان الله وريحانه"، فالريحان: الرزق، ومعنى ذلك أنك إذا قلت: سبحان الله فأنت تسبح الله، وإذا قلت: ريحانَه يعني: كأنك قلت: اللهم ارزقني، أو </w:t>
      </w:r>
      <w:r w:rsidRPr="00C06B50">
        <w:rPr>
          <w:rFonts w:hint="cs"/>
          <w:rtl/>
          <w:lang w:eastAsia="en-US"/>
        </w:rPr>
        <w:t xml:space="preserve">أنا أسأل الله رزقه، أو أنا أسترزق الله ريحانه أي: رزقه، ثم يقول في التخيير في الفكرة الأخيرة: أنت مخير بين الرفع وبين النصب، ثم يقول: فأما قوله تعالى: </w:t>
      </w:r>
      <w:r w:rsidR="00C06B50" w:rsidRPr="00C06B50">
        <w:rPr>
          <w:rFonts w:cs="DecoType Thuluth" w:hint="cs"/>
          <w:rtl/>
        </w:rPr>
        <w:t>{</w:t>
      </w:r>
      <w:r w:rsidR="00C06B50" w:rsidRPr="00C06B50">
        <w:rPr>
          <w:rFonts w:ascii="QCF_P587" w:hAnsi="QCF_P587" w:cs="QCF_P587"/>
          <w:rtl/>
        </w:rPr>
        <w:t>ﯖ ﯗ</w:t>
      </w:r>
      <w:r w:rsidR="00C06B50" w:rsidRPr="00C06B50">
        <w:rPr>
          <w:rFonts w:cs="DecoType Thuluth" w:hint="cs"/>
          <w:rtl/>
        </w:rPr>
        <w:t>}</w:t>
      </w:r>
      <w:r w:rsidRPr="00C06B50">
        <w:rPr>
          <w:rFonts w:hint="cs"/>
          <w:rtl/>
          <w:lang w:eastAsia="en-US"/>
        </w:rPr>
        <w:t xml:space="preserve"> </w:t>
      </w:r>
      <w:r w:rsidRPr="00C06B50">
        <w:rPr>
          <w:rtl/>
          <w:lang w:eastAsia="en-US"/>
        </w:rPr>
        <w:t>[المطفِّفين: 1]</w:t>
      </w:r>
      <w:r w:rsidRPr="00C06B50">
        <w:rPr>
          <w:rFonts w:hint="cs"/>
          <w:rtl/>
          <w:lang w:eastAsia="en-US"/>
        </w:rPr>
        <w:t xml:space="preserve"> فإنه لا يكون فيه إلا الرفع؛ إذ كان لا يقال دعاء عليه يعني: احذر أن تظن أن قول الله تعالى: </w:t>
      </w:r>
      <w:r w:rsidR="00C06B50" w:rsidRPr="00C06B50">
        <w:rPr>
          <w:rFonts w:cs="DecoType Thuluth" w:hint="cs"/>
          <w:rtl/>
        </w:rPr>
        <w:t>{</w:t>
      </w:r>
      <w:r w:rsidR="00C06B50" w:rsidRPr="00C06B50">
        <w:rPr>
          <w:rFonts w:ascii="QCF_P588" w:hAnsi="QCF_P588" w:cs="QCF_P588"/>
          <w:rtl/>
        </w:rPr>
        <w:t>ﭠ</w:t>
      </w:r>
      <w:r w:rsidR="00C06B50" w:rsidRPr="00C06B50">
        <w:rPr>
          <w:rFonts w:ascii="QCF_P588" w:hAnsi="QCF_P588" w:cs="DecoType Thuluth"/>
          <w:rtl/>
        </w:rPr>
        <w:t>}</w:t>
      </w:r>
      <w:r w:rsidRPr="00C06B50">
        <w:rPr>
          <w:rFonts w:hint="cs"/>
          <w:rtl/>
          <w:lang w:eastAsia="en-US"/>
        </w:rPr>
        <w:t xml:space="preserve"> دعاء على المطففين لا، إنَّما هو إخبار بأن الويل ثابت له، يعني: ربما تدعوه ولا يستجاب الدعاء، ربما تقول لإنسان: سلاما كأنك تتمنى له السلام، والتمني يكون في المحال أو في الأمر العسير، كما قال ابن هشام. </w:t>
      </w:r>
    </w:p>
    <w:p w:rsidR="003F348B" w:rsidRPr="00C06B50" w:rsidRDefault="00395F4E" w:rsidP="00C06B50">
      <w:pPr>
        <w:pStyle w:val="Abstract"/>
        <w:bidi/>
        <w:spacing w:after="0" w:line="240" w:lineRule="exact"/>
        <w:ind w:firstLine="173"/>
        <w:rPr>
          <w:lang w:eastAsia="en-US"/>
        </w:rPr>
      </w:pPr>
      <w:r w:rsidRPr="00C06B50">
        <w:rPr>
          <w:rFonts w:hint="cs"/>
          <w:rtl/>
          <w:lang w:eastAsia="en-US"/>
        </w:rPr>
        <w:t xml:space="preserve">لكن إذا قلت كما قال خليل الله إبراهيم: "سلام" أي: تحقق السلام لك. إذن هناك فرق في المعاني كبير، وهذا الذي يجعلك تهتف بالضمة، والفتحة، ويجعلك تقول: للعالمين، انظروا إلى الفتحة حين صارت ضمة تغير المعنى من دعاء قد يجاب إلى استقرار قد تحقق، وكأن الذين يريدون أن يستأنسوا بمعاني القرآن الكريم حين يعلمون أن الله عز وجل جاء بالرفع فأنزل قرآنه: </w:t>
      </w:r>
      <w:r w:rsidR="00C06B50" w:rsidRPr="00C06B50">
        <w:rPr>
          <w:rFonts w:cs="DecoType Thuluth" w:hint="cs"/>
          <w:rtl/>
        </w:rPr>
        <w:t>{</w:t>
      </w:r>
      <w:r w:rsidR="00C06B50" w:rsidRPr="00C06B50">
        <w:rPr>
          <w:rFonts w:ascii="QCF_P587" w:hAnsi="QCF_P587" w:cs="QCF_P587"/>
          <w:rtl/>
        </w:rPr>
        <w:t>ﯖ ﯗ</w:t>
      </w:r>
      <w:r w:rsidR="00C06B50" w:rsidRPr="00C06B50">
        <w:rPr>
          <w:rFonts w:cs="DecoType Thuluth" w:hint="cs"/>
          <w:rtl/>
        </w:rPr>
        <w:t>}</w:t>
      </w:r>
      <w:r w:rsidRPr="00C06B50">
        <w:rPr>
          <w:rFonts w:hint="cs"/>
          <w:rtl/>
          <w:lang w:eastAsia="en-US"/>
        </w:rPr>
        <w:t xml:space="preserve"> </w:t>
      </w:r>
      <w:r w:rsidRPr="00C06B50">
        <w:rPr>
          <w:rtl/>
          <w:lang w:eastAsia="en-US"/>
        </w:rPr>
        <w:t>[المطفِّفين: 1]</w:t>
      </w:r>
      <w:r w:rsidRPr="00C06B50">
        <w:rPr>
          <w:rFonts w:hint="cs"/>
          <w:rtl/>
          <w:lang w:eastAsia="en-US"/>
        </w:rPr>
        <w:t xml:space="preserve"> أفاد أن هذا ليس دعاء عليهم، انتهى الدعاء عليهم منذ زمان بعيد، وإنما لهم الويل محقق وجاهز، وقال فإن كان يفيد الإخبار فالرفع، وإن لم يكن فالنصب، وسوف نرى العلاقة بين الرفع، والنصب، والإضافة اللفظية فيما بعد.</w:t>
      </w:r>
    </w:p>
    <w:p w:rsidR="00006F7B" w:rsidRPr="00A44522" w:rsidRDefault="007345A3" w:rsidP="003F348B">
      <w:pPr>
        <w:pStyle w:val="Heading1"/>
        <w:tabs>
          <w:tab w:val="clear" w:pos="0"/>
        </w:tabs>
        <w:bidi/>
        <w:ind w:left="576" w:firstLine="0"/>
        <w:rPr>
          <w:rtl/>
        </w:rPr>
      </w:pPr>
      <w:r>
        <w:rPr>
          <w:rFonts w:hint="cs"/>
          <w:rtl/>
        </w:rPr>
        <w:t>المراجع والمصادر</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73CD1"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73CD1"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F34" w:rsidRDefault="00482F34" w:rsidP="000C4416">
      <w:r>
        <w:separator/>
      </w:r>
    </w:p>
  </w:endnote>
  <w:endnote w:type="continuationSeparator" w:id="1">
    <w:p w:rsidR="00482F34" w:rsidRDefault="00482F34"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587">
    <w:panose1 w:val="02000400000000000000"/>
    <w:charset w:val="00"/>
    <w:family w:val="auto"/>
    <w:pitch w:val="variable"/>
    <w:sig w:usb0="80002003" w:usb1="90000000" w:usb2="00000008" w:usb3="00000000" w:csb0="80000041" w:csb1="00000000"/>
  </w:font>
  <w:font w:name="QCF_P58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F34" w:rsidRDefault="00482F34" w:rsidP="000C4416">
      <w:r>
        <w:separator/>
      </w:r>
    </w:p>
  </w:footnote>
  <w:footnote w:type="continuationSeparator" w:id="1">
    <w:p w:rsidR="00482F34" w:rsidRDefault="00482F34"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21EC"/>
    <w:rsid w:val="00097914"/>
    <w:rsid w:val="00097F14"/>
    <w:rsid w:val="000C212C"/>
    <w:rsid w:val="000C4416"/>
    <w:rsid w:val="000E2248"/>
    <w:rsid w:val="000F3FB7"/>
    <w:rsid w:val="00100A21"/>
    <w:rsid w:val="001677B7"/>
    <w:rsid w:val="00172029"/>
    <w:rsid w:val="0017791D"/>
    <w:rsid w:val="00180355"/>
    <w:rsid w:val="001835BD"/>
    <w:rsid w:val="00197B5F"/>
    <w:rsid w:val="001B1FA5"/>
    <w:rsid w:val="001C5A2C"/>
    <w:rsid w:val="00251720"/>
    <w:rsid w:val="00265FEB"/>
    <w:rsid w:val="00276E36"/>
    <w:rsid w:val="0029290A"/>
    <w:rsid w:val="00297415"/>
    <w:rsid w:val="002E0EFA"/>
    <w:rsid w:val="00395F4E"/>
    <w:rsid w:val="003B5B7D"/>
    <w:rsid w:val="003F348B"/>
    <w:rsid w:val="00444EE2"/>
    <w:rsid w:val="00455953"/>
    <w:rsid w:val="00455C43"/>
    <w:rsid w:val="00461F7F"/>
    <w:rsid w:val="0046344E"/>
    <w:rsid w:val="0046422F"/>
    <w:rsid w:val="0047261F"/>
    <w:rsid w:val="00473CD1"/>
    <w:rsid w:val="00477ECE"/>
    <w:rsid w:val="00482F34"/>
    <w:rsid w:val="0048563C"/>
    <w:rsid w:val="004A6804"/>
    <w:rsid w:val="004B0223"/>
    <w:rsid w:val="004C5EF3"/>
    <w:rsid w:val="004F41C5"/>
    <w:rsid w:val="0052167A"/>
    <w:rsid w:val="00531265"/>
    <w:rsid w:val="005648FF"/>
    <w:rsid w:val="00582DC7"/>
    <w:rsid w:val="005A0FF9"/>
    <w:rsid w:val="005A3FD3"/>
    <w:rsid w:val="005F54FA"/>
    <w:rsid w:val="00614F38"/>
    <w:rsid w:val="006226AB"/>
    <w:rsid w:val="00626F1D"/>
    <w:rsid w:val="00661921"/>
    <w:rsid w:val="00680242"/>
    <w:rsid w:val="00680673"/>
    <w:rsid w:val="006F0791"/>
    <w:rsid w:val="00702823"/>
    <w:rsid w:val="00713EA5"/>
    <w:rsid w:val="0072481B"/>
    <w:rsid w:val="007345A3"/>
    <w:rsid w:val="007769D6"/>
    <w:rsid w:val="00793A54"/>
    <w:rsid w:val="007C4E09"/>
    <w:rsid w:val="00821F7F"/>
    <w:rsid w:val="00851FA1"/>
    <w:rsid w:val="0086006A"/>
    <w:rsid w:val="008A63D5"/>
    <w:rsid w:val="008F3992"/>
    <w:rsid w:val="00950E8D"/>
    <w:rsid w:val="009A452E"/>
    <w:rsid w:val="00A05529"/>
    <w:rsid w:val="00A44522"/>
    <w:rsid w:val="00A5227F"/>
    <w:rsid w:val="00A628ED"/>
    <w:rsid w:val="00A71A81"/>
    <w:rsid w:val="00A7496D"/>
    <w:rsid w:val="00AC2A88"/>
    <w:rsid w:val="00AE5DD6"/>
    <w:rsid w:val="00B16CCA"/>
    <w:rsid w:val="00B5552B"/>
    <w:rsid w:val="00B67BC9"/>
    <w:rsid w:val="00B96CE5"/>
    <w:rsid w:val="00BA14B1"/>
    <w:rsid w:val="00C06B50"/>
    <w:rsid w:val="00C11B64"/>
    <w:rsid w:val="00C97EF4"/>
    <w:rsid w:val="00CB4B1B"/>
    <w:rsid w:val="00CE7BBC"/>
    <w:rsid w:val="00D01C0B"/>
    <w:rsid w:val="00D17F47"/>
    <w:rsid w:val="00D262D8"/>
    <w:rsid w:val="00D4340B"/>
    <w:rsid w:val="00D768DB"/>
    <w:rsid w:val="00D919B7"/>
    <w:rsid w:val="00DE155D"/>
    <w:rsid w:val="00DF6E09"/>
    <w:rsid w:val="00E10CDA"/>
    <w:rsid w:val="00E42342"/>
    <w:rsid w:val="00E45FDD"/>
    <w:rsid w:val="00E517E0"/>
    <w:rsid w:val="00E5535F"/>
    <w:rsid w:val="00E72D31"/>
    <w:rsid w:val="00E81EA4"/>
    <w:rsid w:val="00EE6F64"/>
    <w:rsid w:val="00F51C8F"/>
    <w:rsid w:val="00F52E5A"/>
    <w:rsid w:val="00F718C2"/>
    <w:rsid w:val="00F73B9B"/>
    <w:rsid w:val="00F750A7"/>
    <w:rsid w:val="00F90E05"/>
    <w:rsid w:val="00F942CD"/>
    <w:rsid w:val="00FA3409"/>
    <w:rsid w:val="00FD550C"/>
    <w:rsid w:val="00FD7D36"/>
    <w:rsid w:val="00FF79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29</cp:revision>
  <cp:lastPrinted>2013-04-30T13:38:00Z</cp:lastPrinted>
  <dcterms:created xsi:type="dcterms:W3CDTF">2013-06-10T19:44:00Z</dcterms:created>
  <dcterms:modified xsi:type="dcterms:W3CDTF">2013-06-13T00:54:00Z</dcterms:modified>
</cp:coreProperties>
</file>