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0AA0" w:rsidRPr="006503DD" w:rsidRDefault="007E4D0D" w:rsidP="007E4D0D">
      <w:pPr>
        <w:jc w:val="center"/>
        <w:rPr>
          <w:rFonts w:hint="cs"/>
          <w:sz w:val="48"/>
          <w:szCs w:val="48"/>
          <w:rtl/>
        </w:rPr>
      </w:pPr>
      <w:r w:rsidRPr="006503DD">
        <w:rPr>
          <w:rFonts w:ascii="Calibri" w:eastAsia="Calibri" w:hAnsi="Calibri" w:cs="AGA Rasheeq Bold"/>
          <w:sz w:val="48"/>
          <w:szCs w:val="48"/>
          <w:rtl/>
        </w:rPr>
        <w:t>مسألة: الكفار مخاطبون بفروع الشريعة</w:t>
      </w:r>
    </w:p>
    <w:p w:rsidR="004C0D1C" w:rsidRPr="009B0961" w:rsidRDefault="004C0D1C" w:rsidP="004C0D1C">
      <w:pPr>
        <w:spacing w:line="500" w:lineRule="exact"/>
        <w:jc w:val="center"/>
        <w:rPr>
          <w:rFonts w:ascii="Calibri" w:eastAsia="Calibri" w:hAnsi="Calibri" w:cs="AGA Rasheeq Bold"/>
          <w:sz w:val="18"/>
          <w:szCs w:val="18"/>
          <w:rtl/>
        </w:rPr>
      </w:pPr>
      <w:r>
        <w:rPr>
          <w:rFonts w:hint="cs"/>
          <w:rtl/>
        </w:rPr>
        <w:t xml:space="preserve">  </w:t>
      </w:r>
      <w:r w:rsidRPr="009B0961">
        <w:rPr>
          <w:rFonts w:hint="cs"/>
          <w:sz w:val="18"/>
          <w:szCs w:val="18"/>
          <w:rtl/>
        </w:rPr>
        <w:t xml:space="preserve">مبحث فى </w:t>
      </w:r>
      <w:r w:rsidRPr="009B0961">
        <w:rPr>
          <w:rFonts w:ascii="Calibri" w:eastAsia="Calibri" w:hAnsi="Calibri" w:cs="AGA Rasheeq Bold" w:hint="cs"/>
          <w:sz w:val="18"/>
          <w:szCs w:val="18"/>
          <w:rtl/>
        </w:rPr>
        <w:t>أصول الفقه</w:t>
      </w:r>
    </w:p>
    <w:p w:rsidR="004C0D1C" w:rsidRPr="009B0961" w:rsidRDefault="004C0D1C" w:rsidP="004C0D1C">
      <w:pPr>
        <w:pStyle w:val="Author"/>
        <w:bidi/>
        <w:rPr>
          <w:rFonts w:eastAsia="Times New Roman"/>
        </w:rPr>
      </w:pPr>
      <w:r w:rsidRPr="009B0961">
        <w:rPr>
          <w:rFonts w:hint="cs"/>
          <w:rtl/>
        </w:rPr>
        <w:t>إعداد / ميسون عقباوى</w:t>
      </w:r>
    </w:p>
    <w:p w:rsidR="004C0D1C" w:rsidRPr="009B0961" w:rsidRDefault="004C0D1C" w:rsidP="004C0D1C">
      <w:pPr>
        <w:pStyle w:val="Affiliation"/>
        <w:bidi/>
        <w:rPr>
          <w:rFonts w:eastAsia="Times New Roman"/>
        </w:rPr>
      </w:pPr>
      <w:r w:rsidRPr="009B0961">
        <w:rPr>
          <w:rFonts w:hint="cs"/>
          <w:rtl/>
        </w:rPr>
        <w:t>قسم الدعوة وأصول الدين</w:t>
      </w:r>
    </w:p>
    <w:p w:rsidR="004C0D1C" w:rsidRPr="009B0961" w:rsidRDefault="004C0D1C" w:rsidP="004C0D1C">
      <w:pPr>
        <w:pStyle w:val="Affiliation"/>
        <w:bidi/>
      </w:pPr>
      <w:r w:rsidRPr="009B0961">
        <w:rPr>
          <w:rFonts w:hint="cs"/>
          <w:rtl/>
        </w:rPr>
        <w:t xml:space="preserve">كلية العلوم الإسلامية </w:t>
      </w:r>
      <w:r w:rsidRPr="009B0961">
        <w:rPr>
          <w:rtl/>
        </w:rPr>
        <w:t>–</w:t>
      </w:r>
      <w:r w:rsidRPr="009B0961">
        <w:rPr>
          <w:rFonts w:hint="cs"/>
          <w:rtl/>
        </w:rPr>
        <w:t xml:space="preserve"> جامعة المدينة العالمية</w:t>
      </w:r>
      <w:r w:rsidRPr="009B0961">
        <w:rPr>
          <w:rFonts w:eastAsia="Times New Roman"/>
        </w:rPr>
        <w:t xml:space="preserve"> </w:t>
      </w:r>
    </w:p>
    <w:p w:rsidR="004C0D1C" w:rsidRPr="009B0961" w:rsidRDefault="004C0D1C" w:rsidP="004C0D1C">
      <w:pPr>
        <w:pStyle w:val="Affiliation"/>
        <w:bidi/>
        <w:rPr>
          <w:rtl/>
        </w:rPr>
      </w:pPr>
      <w:r w:rsidRPr="009B0961">
        <w:rPr>
          <w:rFonts w:hint="cs"/>
          <w:rtl/>
        </w:rPr>
        <w:t>شاه علم - ماليزيا</w:t>
      </w:r>
    </w:p>
    <w:p w:rsidR="004C0D1C" w:rsidRPr="009B0961" w:rsidRDefault="004C0D1C" w:rsidP="004C0D1C">
      <w:pPr>
        <w:spacing w:line="240" w:lineRule="auto"/>
        <w:jc w:val="center"/>
        <w:rPr>
          <w:rFonts w:asciiTheme="majorBidi" w:hAnsiTheme="majorBidi" w:cstheme="majorBidi" w:hint="cs"/>
          <w:b/>
          <w:bCs/>
          <w:sz w:val="18"/>
          <w:szCs w:val="18"/>
          <w:rtl/>
          <w:lang w:bidi="ar-EG"/>
        </w:rPr>
      </w:pPr>
      <w:r w:rsidRPr="009B0961">
        <w:rPr>
          <w:rFonts w:ascii="Times New Roman" w:eastAsia="SimSun" w:hAnsi="Times New Roman" w:cs="Times New Roman"/>
          <w:sz w:val="20"/>
          <w:szCs w:val="20"/>
          <w:lang w:eastAsia="zh-CN"/>
        </w:rPr>
        <w:t>maysoun.akabawy31@gmail.com</w:t>
      </w:r>
    </w:p>
    <w:p w:rsidR="006503DD" w:rsidRDefault="004C0D1C" w:rsidP="006503DD">
      <w:pPr>
        <w:pStyle w:val="NormalWeb"/>
        <w:jc w:val="right"/>
        <w:rPr>
          <w:rFonts w:asciiTheme="majorBidi" w:hAnsiTheme="majorBidi" w:cstheme="majorBidi"/>
          <w:b/>
          <w:bCs/>
          <w:sz w:val="18"/>
          <w:szCs w:val="18"/>
        </w:rPr>
        <w:sectPr w:rsidR="006503DD" w:rsidSect="007E639D">
          <w:pgSz w:w="11906" w:h="16838"/>
          <w:pgMar w:top="1440" w:right="1440" w:bottom="1440" w:left="1440" w:header="720" w:footer="720" w:gutter="0"/>
          <w:cols w:space="720"/>
          <w:bidi/>
          <w:rtlGutter/>
          <w:docGrid w:linePitch="360"/>
        </w:sectPr>
      </w:pPr>
      <w:r>
        <w:br/>
      </w:r>
    </w:p>
    <w:p w:rsidR="004C0D1C" w:rsidRPr="006503DD" w:rsidRDefault="004C0D1C" w:rsidP="00EA5138">
      <w:pPr>
        <w:pStyle w:val="NormalWeb"/>
        <w:jc w:val="right"/>
        <w:rPr>
          <w:rFonts w:asciiTheme="majorBidi" w:hAnsiTheme="majorBidi" w:cstheme="majorBidi"/>
          <w:b/>
          <w:bCs/>
          <w:sz w:val="18"/>
          <w:szCs w:val="18"/>
          <w:rtl/>
        </w:rPr>
      </w:pPr>
      <w:r w:rsidRPr="006503DD">
        <w:rPr>
          <w:rFonts w:asciiTheme="majorBidi" w:hAnsiTheme="majorBidi" w:cstheme="majorBidi"/>
          <w:b/>
          <w:bCs/>
          <w:sz w:val="18"/>
          <w:szCs w:val="18"/>
          <w:rtl/>
        </w:rPr>
        <w:lastRenderedPageBreak/>
        <w:t xml:space="preserve">الخلاصة – هذا البحث يبحث فى </w:t>
      </w:r>
      <w:r w:rsidR="00EA5138">
        <w:rPr>
          <w:rFonts w:asciiTheme="majorBidi" w:hAnsiTheme="majorBidi" w:cstheme="majorBidi" w:hint="cs"/>
          <w:b/>
          <w:bCs/>
          <w:sz w:val="18"/>
          <w:szCs w:val="18"/>
          <w:rtl/>
        </w:rPr>
        <w:t>مسألة :الكفار مخاطبون بفروع الشريعة</w:t>
      </w:r>
      <w:r w:rsidRPr="006503DD">
        <w:rPr>
          <w:rFonts w:asciiTheme="majorBidi" w:hAnsiTheme="majorBidi" w:cstheme="majorBidi"/>
          <w:b/>
          <w:bCs/>
          <w:sz w:val="18"/>
          <w:szCs w:val="18"/>
        </w:rPr>
        <w:br/>
      </w:r>
      <w:r w:rsidRPr="006503DD">
        <w:rPr>
          <w:rFonts w:asciiTheme="majorBidi" w:hAnsiTheme="majorBidi" w:cstheme="majorBidi"/>
          <w:b/>
          <w:bCs/>
          <w:sz w:val="18"/>
          <w:szCs w:val="18"/>
          <w:rtl/>
        </w:rPr>
        <w:t xml:space="preserve">الكلمات المفتاحية – </w:t>
      </w:r>
      <w:r w:rsidR="00EA5138">
        <w:rPr>
          <w:rFonts w:asciiTheme="majorBidi" w:hAnsiTheme="majorBidi" w:cstheme="majorBidi" w:hint="cs"/>
          <w:b/>
          <w:bCs/>
          <w:sz w:val="18"/>
          <w:szCs w:val="18"/>
          <w:rtl/>
        </w:rPr>
        <w:t xml:space="preserve">الشرعى </w:t>
      </w:r>
      <w:r w:rsidRPr="006503DD">
        <w:rPr>
          <w:rFonts w:asciiTheme="majorBidi" w:hAnsiTheme="majorBidi" w:cstheme="majorBidi"/>
          <w:b/>
          <w:bCs/>
          <w:sz w:val="18"/>
          <w:szCs w:val="18"/>
          <w:rtl/>
        </w:rPr>
        <w:t xml:space="preserve">، </w:t>
      </w:r>
      <w:r w:rsidR="00EA5138">
        <w:rPr>
          <w:rFonts w:asciiTheme="majorBidi" w:hAnsiTheme="majorBidi" w:cstheme="majorBidi" w:hint="cs"/>
          <w:b/>
          <w:bCs/>
          <w:sz w:val="18"/>
          <w:szCs w:val="18"/>
          <w:rtl/>
        </w:rPr>
        <w:t>خلافا</w:t>
      </w:r>
      <w:r w:rsidRPr="006503DD">
        <w:rPr>
          <w:rFonts w:asciiTheme="majorBidi" w:hAnsiTheme="majorBidi" w:cstheme="majorBidi"/>
          <w:b/>
          <w:bCs/>
          <w:sz w:val="18"/>
          <w:szCs w:val="18"/>
          <w:rtl/>
        </w:rPr>
        <w:t xml:space="preserve"> ، </w:t>
      </w:r>
      <w:r w:rsidR="00EA5138">
        <w:rPr>
          <w:rFonts w:asciiTheme="majorBidi" w:hAnsiTheme="majorBidi" w:cstheme="majorBidi" w:hint="cs"/>
          <w:b/>
          <w:bCs/>
          <w:sz w:val="18"/>
          <w:szCs w:val="18"/>
          <w:rtl/>
        </w:rPr>
        <w:t>الكافر</w:t>
      </w:r>
    </w:p>
    <w:p w:rsidR="004C0D1C" w:rsidRPr="006503DD" w:rsidRDefault="004C0D1C" w:rsidP="006503DD">
      <w:pPr>
        <w:pStyle w:val="NormalWeb"/>
        <w:jc w:val="center"/>
        <w:rPr>
          <w:rFonts w:asciiTheme="majorBidi" w:hAnsiTheme="majorBidi" w:cstheme="majorBidi"/>
          <w:b/>
          <w:bCs/>
          <w:sz w:val="18"/>
          <w:szCs w:val="18"/>
          <w:lang w:bidi="ar-EG"/>
        </w:rPr>
      </w:pPr>
      <w:r w:rsidRPr="006503DD">
        <w:rPr>
          <w:rFonts w:asciiTheme="majorBidi" w:hAnsiTheme="majorBidi" w:cstheme="majorBidi"/>
          <w:b/>
          <w:bCs/>
          <w:sz w:val="18"/>
          <w:szCs w:val="18"/>
          <w:rtl/>
        </w:rPr>
        <w:t>المقدمة</w:t>
      </w:r>
      <w:r w:rsidRPr="006503DD">
        <w:rPr>
          <w:rFonts w:asciiTheme="majorBidi" w:hAnsiTheme="majorBidi" w:cstheme="majorBidi"/>
          <w:b/>
          <w:bCs/>
          <w:sz w:val="18"/>
          <w:szCs w:val="18"/>
          <w:lang w:bidi="ar-EG"/>
        </w:rPr>
        <w:t>.I</w:t>
      </w:r>
    </w:p>
    <w:p w:rsidR="004C0D1C" w:rsidRPr="006503DD" w:rsidRDefault="004C0D1C" w:rsidP="00EA5138">
      <w:pPr>
        <w:pStyle w:val="NormalWeb"/>
        <w:jc w:val="right"/>
        <w:rPr>
          <w:rFonts w:asciiTheme="majorBidi" w:hAnsiTheme="majorBidi" w:cstheme="majorBidi"/>
          <w:b/>
          <w:bCs/>
          <w:sz w:val="18"/>
          <w:szCs w:val="18"/>
          <w:rtl/>
        </w:rPr>
      </w:pPr>
      <w:r w:rsidRPr="006503DD">
        <w:rPr>
          <w:rFonts w:asciiTheme="majorBidi" w:hAnsiTheme="majorBidi" w:cstheme="majorBidi"/>
          <w:b/>
          <w:bCs/>
          <w:sz w:val="18"/>
          <w:szCs w:val="18"/>
        </w:rPr>
        <w:br/>
      </w:r>
      <w:r w:rsidRPr="006503DD">
        <w:rPr>
          <w:rFonts w:asciiTheme="majorBidi" w:hAnsiTheme="majorBidi" w:cstheme="majorBidi"/>
          <w:b/>
          <w:bCs/>
          <w:sz w:val="18"/>
          <w:szCs w:val="18"/>
          <w:rtl/>
        </w:rPr>
        <w:t xml:space="preserve">الحمد لله رب العالمين، والصلاة والسلام على أشرف المرسلين سيدنا محمد، وعلى آله وصحبه والتابعين ، سوف نقوم في هذا البحث بمعرفة </w:t>
      </w:r>
      <w:r w:rsidR="00EA5138">
        <w:rPr>
          <w:rFonts w:asciiTheme="majorBidi" w:hAnsiTheme="majorBidi" w:cstheme="majorBidi" w:hint="cs"/>
          <w:b/>
          <w:bCs/>
          <w:sz w:val="18"/>
          <w:szCs w:val="18"/>
          <w:rtl/>
        </w:rPr>
        <w:t>مسألة :الكفار مخاطبون بفروع الشريعة</w:t>
      </w:r>
    </w:p>
    <w:p w:rsidR="004C0D1C" w:rsidRPr="006503DD" w:rsidRDefault="004C0D1C" w:rsidP="006503DD">
      <w:pPr>
        <w:pStyle w:val="NormalWeb"/>
        <w:jc w:val="center"/>
        <w:rPr>
          <w:rFonts w:asciiTheme="majorBidi" w:hAnsiTheme="majorBidi" w:cstheme="majorBidi"/>
          <w:b/>
          <w:bCs/>
          <w:sz w:val="18"/>
          <w:szCs w:val="18"/>
        </w:rPr>
      </w:pPr>
      <w:r w:rsidRPr="006503DD">
        <w:rPr>
          <w:rFonts w:asciiTheme="majorBidi" w:hAnsiTheme="majorBidi" w:cstheme="majorBidi"/>
          <w:b/>
          <w:bCs/>
          <w:sz w:val="18"/>
          <w:szCs w:val="18"/>
        </w:rPr>
        <w:br/>
      </w:r>
      <w:r w:rsidRPr="006503DD">
        <w:rPr>
          <w:rFonts w:asciiTheme="majorBidi" w:hAnsiTheme="majorBidi" w:cstheme="majorBidi"/>
          <w:b/>
          <w:bCs/>
          <w:sz w:val="18"/>
          <w:szCs w:val="18"/>
          <w:rtl/>
        </w:rPr>
        <w:t>.عنوان المقال</w:t>
      </w:r>
      <w:r w:rsidRPr="006503DD">
        <w:rPr>
          <w:rFonts w:asciiTheme="majorBidi" w:hAnsiTheme="majorBidi" w:cstheme="majorBidi"/>
          <w:b/>
          <w:bCs/>
          <w:sz w:val="18"/>
          <w:szCs w:val="18"/>
        </w:rPr>
        <w:t xml:space="preserve"> II</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هل حصول الشرط الشرعي من التمكن والفهم ونحوهما شرط في صحة التكليف؟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هذه هي المسألة التي بُنيت عليها مسألة خطاب الكفار بفروع الشريعة.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حصول الشرط الشرعي لا يُشترط في صحة التكليف بالمشروط، خلافًا لأصحاب الرأي، وهي مفروضة في تكليف الكافر بالشروع، وإن كانت أعم منه، ومنهم من عبر عنها بأنه هل يشترط التكليف في الإمكان في بالجملة، وهو قولنا: أو الإمكان ناجزًا، وهو قول الحنفية. فالمأمور به إما أن يكون مرتبًا على ما قبله أو لا، فإن كان غير مرتب -وهي أصول الشريعة- فَهُمْ مكلفون بها إجماعًا ويلتحق بذلك -كما قال القاضي- تصديق الرسل وعدم تكذيبهم، والكف عن قتلهم وقتالهم، مع أن الكف عن قتالهم من الفروع.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فالشريعة الإسلامية لها أصول ولها فروع؛ فأصولها الإيمان بالله تعالى، وملائكته، وكتبه، ورسله، واليوم الآخر، والقضاء كله خيره وشره، كما وقع ذلك في حديث عمر بن الخطاب -رضي الله عنه- أنه قال: "جاءنا رجل شديد بياض الثياب، لا يرى على عليه أثر السفر ولا يعرفه أحد منا، فجلس إلى رسول الله </w:t>
      </w:r>
      <w:r w:rsidRPr="006503DD">
        <w:rPr>
          <w:rFonts w:asciiTheme="majorBidi" w:hAnsiTheme="majorBidi" w:cstheme="majorBidi"/>
          <w:b/>
          <w:bCs/>
          <w:sz w:val="18"/>
          <w:szCs w:val="18"/>
        </w:rPr>
        <w:t></w:t>
      </w:r>
      <w:r w:rsidRPr="006503DD">
        <w:rPr>
          <w:rFonts w:asciiTheme="majorBidi" w:hAnsiTheme="majorBidi" w:cstheme="majorBidi"/>
          <w:b/>
          <w:bCs/>
          <w:sz w:val="18"/>
          <w:szCs w:val="18"/>
          <w:rtl/>
        </w:rPr>
        <w:t xml:space="preserve"> ووضع ركبتيه في ركبتيه، ووضع يديه على فَخِذيه، ثم قال: يا رسول الله، ما الإيمان؟ قال: ((الإيمان أن تؤمن بالله وملائكته وكتبه، ورسله واليوم الآخر، والقضاء كله خيره وشره)) قال: صدقت، يقول عمر: فعجبنا كيف يسأل ويصدق؟! ثم قال: ما الإسلام؟ قال: ((الإسلام أن تشهد لا إله إلا الله وأن محمدًا رسول الله، وتقيم الصلاة، وتؤتي الزكاة، وتصوم رمضانَ، وتحج البيت إن استطعت إليه سبيلًا)) ثم قال: ما الإحسان؟ قال: ((الإحسان أن تعبد الله كأنك تراه، فإن لم تكن تراه فإنه يراك)) قال: أخبرني عن الساعة؟ قال: ((ما المسئول عنها بأعلم من السائل))". إلى آخر الحديث.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والشاهد في الحديث: أن الرسول </w:t>
      </w:r>
      <w:r w:rsidRPr="006503DD">
        <w:rPr>
          <w:rFonts w:asciiTheme="majorBidi" w:hAnsiTheme="majorBidi" w:cstheme="majorBidi"/>
          <w:b/>
          <w:bCs/>
          <w:sz w:val="18"/>
          <w:szCs w:val="18"/>
        </w:rPr>
        <w:t></w:t>
      </w:r>
      <w:r w:rsidRPr="006503DD">
        <w:rPr>
          <w:rFonts w:asciiTheme="majorBidi" w:hAnsiTheme="majorBidi" w:cstheme="majorBidi"/>
          <w:b/>
          <w:bCs/>
          <w:sz w:val="18"/>
          <w:szCs w:val="18"/>
          <w:rtl/>
        </w:rPr>
        <w:t xml:space="preserve"> لما سُئل عن الإيمان قال: ((أن تؤمن بالله وملائكته وكتبه، ورسله واليوم الآخر، والقضاء كله خيره وشره)) فهذه هي أصول الشريعة، ولما سئل عن الإسلام قال: ((تقيم الصلاة، وتؤتي الزكاة...)) إلخ، فهذه هي فروع الشريعة، وهي التكاليف التي شرعها الله لعباده من صلاة وصوم وحج وزكاة، وكذلك بيع ورهن وإجارة، وحدود وقصاص وكفارات... إلى آخر مسائل الفقه الإسلامي.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lastRenderedPageBreak/>
        <w:t xml:space="preserve">وقد اتفق العلماء على أن الكفار مخاطبون بأصول الشريعة، وأن تركهم لهذه الأصول يوجب تخليدهم في النار، قال تعالى: {ﮪ ﮫ ﮬ ﮭ ﮮ ﮯ ﮰ ﮱ ﯓ ﯔ ﯕ ﯖ ﯗ ﯘ ﯙ ﯚ ﯛ } [البينة: 6] واتفقوا كذلك على أنهم مخاطبون بالمعاملات كالبيع والشراء، والرهن والإجارة، ومخاطبون بالعقوبات كالحدود والقصاص، وقالوا في توجيه ذلك: إن المعاملات قُصد بها الحياة الدنيا، فالكفارة بها أنسب؛ لأنهم آثروا الحياة الدنيا على الآخرة، وأما العقوبات فقد قصد بها الزجر عن ارتكاب أسبابها، والكفار أحق بالزجر وأولى به من المؤمنين.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لكنهم اختلفوا في مخاطبتهم بما عَدَا ذلك من فروع الشريعة كالصلاة والصوم والحج والزكاة من كل ما يعتبر الإيمان شرطًا في صحته، واختلفوا في ذلك على ثلاثة أقوال: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القول الأول: أنهم مخاطبون بفروع الشريعة أداءً واعتقادًا، وهو مختار جمهور العلماء، ومنهم الأئمة الثلاثة مالك والشافعي وأحمد، وهو المعروف عند علماء الحنفية العراقيين.</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القول الثاني: أنهم ليسوا مخاطبين بها لا أداءً ولا اعتقادًا، وهذا القول لعلماء الحنفية السمرقديين كأبي زيد الدبوسي، وشمس الأئمة السرخسي، وفخر الإسلام البوذوي، واختار هذا القول أبو حامد الإسفراييني من الشافعية.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القول الثالث: أنهم مخاطبون بالنواهي وليسوا مخاطبين بالأوامر، وهذا القول قد حكاه الإمام البيضاوي دون أن ينسبه إلى غيره.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وقد جعل بعض العلماء هذه الأقوال الثلاثة جاريةً في الكافر الأصلي، وفي المرتد عن الإسلام؛ لوجود المانع فيهما وهو الكفر، وقال المحققون: إن هذه الأقوال خاصة في الكافر الأصلي، أما المرتد فهو مخاطب بالفروع اتفاقًا؛ لأنه التزم أحكام الإسلام قبل رِدته. وهناك قول آخر يرى أنهم مخاطبون بما عدا الجهاد؛ لأنهم لا يقاتلون أنفسهم. </w:t>
      </w:r>
    </w:p>
    <w:p w:rsidR="006503DD" w:rsidRPr="006503DD" w:rsidRDefault="006503DD" w:rsidP="006503DD">
      <w:pPr>
        <w:pStyle w:val="a0"/>
        <w:spacing w:line="240" w:lineRule="auto"/>
        <w:rPr>
          <w:rFonts w:asciiTheme="majorBidi" w:hAnsiTheme="majorBidi" w:cstheme="majorBidi"/>
          <w:color w:val="auto"/>
          <w:sz w:val="18"/>
          <w:szCs w:val="18"/>
        </w:rPr>
      </w:pPr>
      <w:r w:rsidRPr="006503DD">
        <w:rPr>
          <w:rFonts w:asciiTheme="majorBidi" w:hAnsiTheme="majorBidi" w:cstheme="majorBidi"/>
          <w:color w:val="auto"/>
          <w:sz w:val="18"/>
          <w:szCs w:val="18"/>
          <w:rtl/>
        </w:rPr>
        <w:t>الأدلة:</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استدل أصحاب القول الأول الذين قالوا فيه: إنهم مخاطبون بفروع الشريعة أداءً واعتقادًا:</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الدليل الأول: استدلوا بقولهم: إن المقتضي لخطابهم بالفروع موجود، وهو تناول خطاب التكليف لهم، مثل قوله تعالى: {ﮜ ﮝ ﮞ ﮟ } [البقرة: 21] وقوله تعالى: {ﮬ ﮭ ﮮ ﮯ ﮰ } [آل عمران: 97] فإن لفظ: {ﮝ } عام يتناول كل فرد من أفراد الناس المؤمنين منهم والكافرين، ومع تناول الخطاب لهم فَهُم أهل للخطاب؛ لبلوغهم وعقلهم، وفهمهم للخطاب، والمانع من توجه الخطاب إليهم منتف؛ لأنه لا يُتصور مانع من خطابهم إلا كُفْرهم، والكفر لا يصلح أن يكون مانعًا؛ لأنه ممكن إزالته بالإسلام، والمانع الذي يمكن إزالتُه لا يعتبر مانعًا من توجه التكليف بالفعل، فإن الحدث مانع من صحة الصلاة ولم نعتبره مانعًا من التكليف بها؛ لكونه مما يمكن إزالته؛ وحيث كان المقتضي للتكليف موجودًا والمانع منه منتفيًا </w:t>
      </w:r>
      <w:r w:rsidRPr="006503DD">
        <w:rPr>
          <w:rFonts w:asciiTheme="majorBidi" w:hAnsiTheme="majorBidi" w:cstheme="majorBidi"/>
          <w:b/>
          <w:bCs/>
          <w:sz w:val="18"/>
          <w:szCs w:val="18"/>
          <w:rtl/>
        </w:rPr>
        <w:lastRenderedPageBreak/>
        <w:t xml:space="preserve">ثبت التكليف؛ لأن وجود العلة التامة يقضي بوجود المعلول، فثبت أنهم مخاطبون بالفروع، وهو ما ندعيه.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الدليل الثاني: استدلوا بقوله تعالى: {ﭴ ﭵ ﭶ ﭷ ﭸ ﭹ ﭺ ﭻ ﭼ ﭽ ﭾ ﭿ } [البينة: 1] مع قوله تعالى: {ﮘ ﮙ ﮚ ﮛ ﮜ ﮝ ﮞ ﮟ ﮠ ﮡ ﮢ ﮣ ﮤ} [البينة: 5] وجه الدلالة من الآية الظاهر: فإن الضمير في قوله: {ﮙ} يرجع إلى كل من أهل الكتاب والمشركين، وقد أمرهم الله تعالى بالتوحيد، وإقامة الصلاة، وإيتاء الزكاة، وكل من الصلاة والزكاة من المتنازع فيه -أي: من فروع الشريعة- فالآية نص في المطلوب.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الدليل الثالث: استدلوا بأنهم لو لم يكونوا مخاطبين بالفروع لَمَا توعدهم الله تعالى بالعذاب على ترك المأمورات وفعل المنهيات، لكن الله تعالى توعدهم بالعذاب على ذلك، فكانوا مخاطبين بالفروع مطلقًا وهو ما ندعيه. ودليل الملازمة: وهي لو لم يكونوا مخاطبين بالفروع لما توعدهم الله بالعذاب على ترك المأمورات وفعل المنهيات.دليل ذلك أن التوعد بالعذاب على فعل المنهي عنه وترك المأمور به لازم مساوٍ لتكليفهم بها، ونفي اللازم نفي الملزوم.</w:t>
      </w:r>
    </w:p>
    <w:p w:rsidR="006503DD" w:rsidRPr="006503DD" w:rsidRDefault="006503DD" w:rsidP="006503DD">
      <w:pPr>
        <w:pStyle w:val="NormalWeb"/>
        <w:bidi/>
        <w:spacing w:after="120"/>
        <w:rPr>
          <w:rFonts w:asciiTheme="majorBidi" w:hAnsiTheme="majorBidi" w:cstheme="majorBidi"/>
          <w:b/>
          <w:bCs/>
          <w:sz w:val="18"/>
          <w:szCs w:val="18"/>
        </w:rPr>
      </w:pPr>
      <w:r w:rsidRPr="006503DD">
        <w:rPr>
          <w:rFonts w:asciiTheme="majorBidi" w:hAnsiTheme="majorBidi" w:cstheme="majorBidi"/>
          <w:b/>
          <w:bCs/>
          <w:sz w:val="18"/>
          <w:szCs w:val="18"/>
          <w:rtl/>
        </w:rPr>
        <w:t xml:space="preserve">أما دليل الاستثنائية: وهو أن الله تعالى توعدهم بالعذاب على ذلك، فقوله تعالى: {ﮉ ﮊ ﮋ ﮌ ﮍ ﮎ ﮏ } [فصلت: 6، 7] وقوله تعالى: {ﭑ ﭒ ﭓ ﭔ ﭕ ﭖ ﭗ ﭘ ﭙ ﭚ ﭛ ﭜ ﭝ ﭞ ﭟ ﭠ ﭡ ﭢ ﭣ ﭤ ﭥ ﭦ ﭧ ﭨ ﭩ ﭪ ﭫ ﭬ ﭭ ﭮ ﭯ ﭰ } [الفرقان: 68، 69]. فالآية الأولى: توعدت المشركين بالويل والهلاك على تركهم الزكاة، وهي من المأمورات. والآية الثانية: توعدت مَن يقتل النفس بغير حق أو يفعل الزنا ويدعو مع الله إلهًا آخرَ بمضاعفة العذاب عليه، حيث يُعذب مرةً على كفره، ومرةً على القتل والزنا، وكل ما من القتل والزنا من المنهيات. </w:t>
      </w:r>
    </w:p>
    <w:p w:rsidR="006503DD" w:rsidRPr="006503DD" w:rsidRDefault="006503DD" w:rsidP="00EA5138">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استدلوا بقوله تعالى حكايةً عن الكفار يوم القيامة قالوا: [المدثر: 42-47] ووجه الدلالة من الآية: أن الله تعالى أخبر عن الكفار وصدقهم في هذا الخبر ولم يكذبهم فيه؛ بأن الذي أدخلهم النار هو تركهم الصلاة والزكاة، فعلم من ذلك أنهم صادقون في قولهم هذا، وبذلك يكونون مكلفين بالصلاة والزكاة في الدنيا، وإلا لَمَا استحقوا العذاب على تركهم. ومتى ثبتت مخاطبتهم ببعض الفروع ثبت تكليفهم بالبعض الآخر؛ إما بطريق القياس أو لأنه لا قائل بالتفرقة.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وقد ناقش بعض العلماء الاستدلالَ بهذه الآية: بأنها حكاية لقول المشركين ولا حجة في قولهم، إنما الحجة في قول الله وفي قول رسوله. وأجيب عن هذه المناقشة: بأن الاستدلال بهذا القول صحيح من حيث إن الله تعالى حكاه عنهم في القرآن الكريم، ولم يعقب عليه؛ لأنهم كاذبون فيه، فدل ذلك على صدقهم وإلا لكانت حكاية هذا القول في القرآن مما لا فائدةَ فيه.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استدل أصحاب القول الأول أيضًا: بإلزام مَن فصل بين الأمر والنهي؛ فالكفار مخاطبون بالنواهي فيكونون مخاطبين بالأوامر، كذلك بجامع الطلب في كل منهما، فكما نعرف أن النهي طلب الترك، أو أن الأمر طلب الفعل؛ ففي كل من الأوامر والنواهي طلب، أو بجامع حصول المصلحة فيهما، فإن التكليف بالنواهي فيه مصلحة هي دفع المفاسد، والتكليف بالأوامر فيه مصلحة هي جلب المنافع، وبذلك يثبت مخاطبة الكفار بالأوامر والنواهي ويبطل قولهم بالتفرقة.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وقد نوقش هذا الدليل من قبل المفصل أولًا بوجود الفارق بين الأمر والنهي، فإن الأمر قصد منه الإتيان بالفعل وهو غير ممكن من الكافر لا في حال كفره؛ لوجود المانع من الأداء وهو الكفر الذي لا تصح معه نية الفعل، ولا بعد إسلامه؛ لأنه بالإسلام سقط عنه الفعل؛ لقوله </w:t>
      </w:r>
      <w:r w:rsidRPr="006503DD">
        <w:rPr>
          <w:rFonts w:asciiTheme="majorBidi" w:hAnsiTheme="majorBidi" w:cstheme="majorBidi"/>
          <w:b/>
          <w:bCs/>
          <w:sz w:val="18"/>
          <w:szCs w:val="18"/>
        </w:rPr>
        <w:t></w:t>
      </w:r>
      <w:r w:rsidRPr="006503DD">
        <w:rPr>
          <w:rFonts w:asciiTheme="majorBidi" w:hAnsiTheme="majorBidi" w:cstheme="majorBidi"/>
          <w:b/>
          <w:bCs/>
          <w:sz w:val="18"/>
          <w:szCs w:val="18"/>
          <w:rtl/>
        </w:rPr>
        <w:t xml:space="preserve">: ((الإسلام يجُبُّ  ما قبله)) أما النهي فقد قصد منه ترك الفعل والترك ممكن من الكافر، ولذلك كلفناه بالنهي ولم نكلفه بالأمر لهذا الفرق السابق.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وقد أجيب عن هذه المناقشة بوجهين: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الوجه الأول: الإتيان بالفعل مجردًا عن قصد الامتثال ممكن من الكافر، كما أن ترك الفعل مجردًا عن الامتثال ممكن منه كذلك، والإتيان بالفعل امتثالًا غير ممكن من الكافر؛ لاشتراط النية فيه، كما أن ترك الفعل امتثالًا غير ممكن من الكافر كذلك؛ فلا فرق بين الأمر والنهي؛ فإن اعتبرتم ترك الفعل مجردًا عن الامتثال كافيًا في النهي، فاعتبِروا كذلك الإتيان بالفعل مجردًا عن الامتثال كافيًا في الأمر، وكان يجب تكليفه بالجميع، وإن لم تعتبروا </w:t>
      </w:r>
      <w:r w:rsidRPr="006503DD">
        <w:rPr>
          <w:rFonts w:asciiTheme="majorBidi" w:hAnsiTheme="majorBidi" w:cstheme="majorBidi"/>
          <w:b/>
          <w:bCs/>
          <w:sz w:val="18"/>
          <w:szCs w:val="18"/>
          <w:rtl/>
        </w:rPr>
        <w:lastRenderedPageBreak/>
        <w:t xml:space="preserve">الإتيان بالفعل مجردًا كافيًا في الأمر ولذلك لم تكلفوا الكافرَ بالأمر، فوجب ألا تعتبروا تركَ الفعل مجردًا عن الامتثال كافيًا في النهي فلا تكلفوه كذلك بالنهي، فالقول بالتفصيل تحكم وترجيح بلا مرجح.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الوجه الثاني: أنا لا نسلم أن الإتيان بالفعل غير ممكن من الكافر، بل نقول: إنه ممكن من الكافر لتمكنه من إزالة المانع بالإسلام، وكون الفعل يسقط عنه بالإسلام لا يجعله غير ممكن؛ لأنه إنما سقط تخفيفًا عليه وترغيبًا له في الإسلام، وفي الحديث ما يُشعر بتكليف الكافر، فإن سقوط الشيء فرع ثبوته ووجوبه، وبذلك يكون الحديث حجة لنا وليس حجة علينا.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استدلوا: بأن هذا الدليل منقوض بالأوامر التي لا تفترض فيها النية كالأوامر المتعلقة بقيم المكافأة والنفقات، فإن الإتيان بمقتضاها ممكن من الكافر كالنواهي، ومع ذلك لم تقولوا بتكليفه بها. </w:t>
      </w:r>
    </w:p>
    <w:p w:rsidR="006503DD" w:rsidRPr="006503DD" w:rsidRDefault="006503DD" w:rsidP="00EA5138">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استدل أصحاب القول الثاني بما رواه أصحاب السنن الستة من أن النبي  لما بعث معاذًا إلى اليمن قال له: ((ادعوهم إلى شهادة أن لا إله إلا الله وأني رسول الله، فإن هم أطاعوك فأعلمهم أن الله قد افترض خمس صلوات في كل يوم وليلة، فإن هم أطاعوك لذلك فأعلمهم أن الله قد افترض عليهم صدقةً في أموالهم، تؤخذ من أغنائهم وترد على فقرائهم)) وجه الاستدلال من هذا الحديث: أنه </w:t>
      </w:r>
      <w:r w:rsidRPr="006503DD">
        <w:rPr>
          <w:rFonts w:asciiTheme="majorBidi" w:hAnsiTheme="majorBidi" w:cstheme="majorBidi"/>
          <w:b/>
          <w:bCs/>
          <w:sz w:val="18"/>
          <w:szCs w:val="18"/>
        </w:rPr>
        <w:t></w:t>
      </w:r>
      <w:r w:rsidRPr="006503DD">
        <w:rPr>
          <w:rFonts w:asciiTheme="majorBidi" w:hAnsiTheme="majorBidi" w:cstheme="majorBidi"/>
          <w:b/>
          <w:bCs/>
          <w:sz w:val="18"/>
          <w:szCs w:val="18"/>
          <w:rtl/>
        </w:rPr>
        <w:t xml:space="preserve"> أمر معاذًا -رضي الله عنه- بأن يدعوهم إلى التوحيد، فإن امتثلوا دعاهم إلى غيره من الفروع، ويفهم من هذا أنهم إن لم يمتثلوا لا يدعوهم لا إلى الصلاة ولا إلى الزكاة، وهذا يقضي بأنهم غير مكلفين بها عند كفرهم، إذ لو كانوا مكلفين بها حال كفرهم -كما هم مكلفين بها حال الإسلام- لَأَمرهم بها، وإن لم يجيبوه إلى الإيمان؛ لأنهم مكلفون بكل من الإيمان والفروع استقلالًا، ولا يصح ترك الأمر بشيء لعدم امتثال شيء آخر.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وقد نوقش هذا الدليل من وجهين:</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الوجه الأول: لا نسلم دلالة الحديث على ما تقولون، وإلا لزم أن يكون الحديث دالًّا على أنه لا يؤمر الشخص بالزكاة إلا إذا أجابه إلى الصلاة، ويكون هناك ترتيب وترتب في الدعوة بين الصلاة والزكاة، ولا قائل بذلك. والغرض من الحديث إنما هو التسهيل في الدعوة ومراعاة أنجح الطرق فيها، فإن شأن مَن لم يجب الداعي إلى الإيمان أنه لا يجيبه إلى غيره من الفروع، فدعوته إلى الفروع حينئذٍ تكون عبثًا.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الوجه الثاني: أنا سلمنا دلالة الحديث على ما تقولون، لكن الحديث دل بطريق المفهوم المخالف، والمفهوم المخالف لا يقوى على معارضة المنطوق به، وهو ما سبق من الآيات الدالة على مخاطبة الكفار بالفروع، فَتَرْك العمل بهذا الحديث أولى منه. </w:t>
      </w:r>
    </w:p>
    <w:p w:rsidR="006503DD" w:rsidRPr="006503DD" w:rsidRDefault="006503DD" w:rsidP="006503DD">
      <w:pPr>
        <w:pStyle w:val="NormalWeb"/>
        <w:bidi/>
        <w:spacing w:after="120"/>
        <w:jc w:val="lowKashida"/>
        <w:rPr>
          <w:rFonts w:asciiTheme="majorBidi" w:hAnsiTheme="majorBidi" w:cstheme="majorBidi"/>
          <w:b/>
          <w:bCs/>
          <w:sz w:val="18"/>
          <w:szCs w:val="18"/>
        </w:rPr>
      </w:pPr>
      <w:r w:rsidRPr="006503DD">
        <w:rPr>
          <w:rFonts w:asciiTheme="majorBidi" w:hAnsiTheme="majorBidi" w:cstheme="majorBidi"/>
          <w:b/>
          <w:bCs/>
          <w:sz w:val="18"/>
          <w:szCs w:val="18"/>
          <w:rtl/>
        </w:rPr>
        <w:t xml:space="preserve">أما أصحاب القول الثالث: وهم القائلون بتكليفهم بالنواهي دون الأوامر، فإنهم استدلوا بأنه لو كانوا مكلفين بالأوامر لكان الإتيان به مطلوبًا منهم، لكن الإتيان بهم ليس مطلوبًا منهم، فلا يكونوا مكلفين بها. دليل الملازمة: أنه لا فائدةَ للتكليف بها إلا الامتثال، وهو الإتيان بالفعل بقصد الطاعة. دليل الاستثنائية: أن الإتيان بالمأمورات غير ممكن من الكافر لا في حال كفره؛ لوجود المانع من النية والكفر، ولا في حال الإسلام؛ لسقوط الفعل عنه، وبذلك يكون التكليف بها لا فائدة فيه فيكون عبثًا، والعبث من الشارع محال. </w:t>
      </w:r>
    </w:p>
    <w:p w:rsidR="004C0D1C" w:rsidRPr="006503DD" w:rsidRDefault="006503DD" w:rsidP="00EA5138">
      <w:pPr>
        <w:pStyle w:val="NormalWeb"/>
        <w:jc w:val="right"/>
        <w:rPr>
          <w:rFonts w:asciiTheme="majorBidi" w:hAnsiTheme="majorBidi" w:cstheme="majorBidi"/>
          <w:b/>
          <w:bCs/>
          <w:sz w:val="18"/>
          <w:szCs w:val="18"/>
        </w:rPr>
      </w:pPr>
      <w:r w:rsidRPr="006503DD">
        <w:rPr>
          <w:rFonts w:asciiTheme="majorBidi" w:hAnsiTheme="majorBidi" w:cstheme="majorBidi"/>
          <w:b/>
          <w:bCs/>
          <w:sz w:val="18"/>
          <w:szCs w:val="18"/>
          <w:rtl/>
        </w:rPr>
        <w:t>نوقش هذا الدليل: أنا نمنع الملازمة في هذا الدليل، فإن حَصْرَ الفائدة في الامتثال ممنوع؛ لجواز أن تكون فائدة التكليف بها هي مضاعفة العقاب عليها إن لم يسلم ويفعل، فيُعذب مرةً على كفره ومرةً على عدم الإسلام بما أُمِرَ به، ومن الممكن أيضًا أن نجيب عن هذا الدليل بمنع الصغرى ونقول: لا نسلم أن الإتيان بالمأمورات ليس ممكنًا من الكافر بل هو ممكن؛ لأن الكفر غير مانع لقدرته على إزالته، فالتكليف يتوجه إليه حال الكفر، والإتيان يكون بعد زوال كفر بالإسلام، وسقوط الفعل بالإسلام لا يجعله غيرَ ممكن؛ لأن الفعل إنما سقط عن الكافر الذي أسلم؛ ترغيبًا له في الإسلام.</w:t>
      </w:r>
    </w:p>
    <w:p w:rsidR="004C0D1C" w:rsidRPr="006503DD" w:rsidRDefault="004C0D1C" w:rsidP="006503DD">
      <w:pPr>
        <w:widowControl w:val="0"/>
        <w:spacing w:after="120" w:line="240" w:lineRule="auto"/>
        <w:jc w:val="center"/>
        <w:rPr>
          <w:rFonts w:asciiTheme="majorBidi" w:eastAsia="Calibri" w:hAnsiTheme="majorBidi" w:cstheme="majorBidi"/>
          <w:b/>
          <w:bCs/>
          <w:sz w:val="18"/>
          <w:szCs w:val="18"/>
          <w:rtl/>
        </w:rPr>
      </w:pPr>
      <w:r w:rsidRPr="006503DD">
        <w:rPr>
          <w:rFonts w:asciiTheme="majorBidi" w:eastAsia="Calibri" w:hAnsiTheme="majorBidi" w:cstheme="majorBidi"/>
          <w:b/>
          <w:bCs/>
          <w:sz w:val="18"/>
          <w:szCs w:val="18"/>
          <w:rtl/>
        </w:rPr>
        <w:t>المراجع والمصادر</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lastRenderedPageBreak/>
        <w:t>الإحكام في أصول الأحكام</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tl/>
        </w:rPr>
      </w:pPr>
      <w:r w:rsidRPr="006503DD">
        <w:rPr>
          <w:rFonts w:asciiTheme="majorBidi" w:hAnsiTheme="majorBidi" w:cstheme="majorBidi"/>
          <w:b/>
          <w:bCs/>
          <w:sz w:val="18"/>
          <w:szCs w:val="18"/>
          <w:rtl/>
        </w:rPr>
        <w:t>سيف الدين علي بن أبي علي بن محمد الآمدي، دار الكتب العلمية، بيروت، 1990م.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البرهان في أصول الفقه</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عبد الملك بن عبد الله بن يوسف الجويني، تحقيق: عبد العظيم الديب، طبعة دار الوفاء، المنصورة، 1992م.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البحر المحيط في أصول الفقه</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tl/>
        </w:rPr>
      </w:pPr>
      <w:r w:rsidRPr="006503DD">
        <w:rPr>
          <w:rFonts w:asciiTheme="majorBidi" w:hAnsiTheme="majorBidi" w:cstheme="majorBidi"/>
          <w:b/>
          <w:bCs/>
          <w:sz w:val="18"/>
          <w:szCs w:val="18"/>
          <w:rtl/>
        </w:rPr>
        <w:t>بدر الدين محمد بن بهادر الزركشي، وزارة الأوقاف والشئون الإسلامية، الكويت، 1988م.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تشنيف المسامع بجمع الجوامع</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بدر الدين محمد بن بهادر الزركشي،  تحقيق: عبد الله ربيع عبد الله و سيد عبد العزيز محمد، مؤسسة قرطبة، 1998م.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روضة الناظر وجنة المناظر</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عبد الله بن أحمد بن قدامة المقدسي، تحقيق: عبد  الكريم بن علي النملة، مكتبة الرشد، الرياض، 1997م.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شرح الكوكب المنير</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tl/>
        </w:rPr>
      </w:pPr>
      <w:r w:rsidRPr="006503DD">
        <w:rPr>
          <w:rFonts w:asciiTheme="majorBidi" w:hAnsiTheme="majorBidi" w:cstheme="majorBidi"/>
          <w:b/>
          <w:bCs/>
          <w:sz w:val="18"/>
          <w:szCs w:val="18"/>
          <w:rtl/>
        </w:rPr>
        <w:t xml:space="preserve">محمد بن أحمد بن عبد العزيز بن النجار، تحقيق: محمد الزحيلي و نزيه حماد، جامعة أم القرى، مكة المكرمة، 1982م. </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الكاشف عن المحصول في علم الأصول</w:t>
      </w:r>
    </w:p>
    <w:p w:rsidR="004C0D1C" w:rsidRPr="006503DD" w:rsidRDefault="004C0D1C" w:rsidP="00EA5138">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lastRenderedPageBreak/>
        <w:t xml:space="preserve">محمد بن محمود بن عباد الأصفهاني، تحقيق: عادل أحمد عبد الموجود و علي محمد معوض، دار الكتب العلمية، 1998م. </w:t>
      </w:r>
    </w:p>
    <w:p w:rsidR="004C0D1C" w:rsidRPr="006503DD" w:rsidRDefault="004C0D1C" w:rsidP="00EA5138">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المحصول في علم الأصول</w:t>
      </w:r>
    </w:p>
    <w:p w:rsidR="004C0D1C" w:rsidRPr="006503DD" w:rsidRDefault="004C0D1C" w:rsidP="00EA5138">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فخر الرازي محمد بن عمر بن الحسين الرازي، طبعة دار الكتب العلمية، بيروت، 1988م.</w:t>
      </w:r>
    </w:p>
    <w:p w:rsidR="004C0D1C" w:rsidRPr="006503DD" w:rsidRDefault="004C0D1C" w:rsidP="00EA5138">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المعتمد في أصول الفقه</w:t>
      </w:r>
    </w:p>
    <w:p w:rsidR="004C0D1C" w:rsidRPr="006503DD" w:rsidRDefault="004C0D1C" w:rsidP="00EA5138">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 xml:space="preserve">أبو الحسين محمد بن علي بن الطيب البصري، تقديم وضبط: خليل الميس، دار الكتب العلمية، 1983م. </w:t>
      </w:r>
    </w:p>
    <w:p w:rsidR="004C0D1C" w:rsidRPr="006503DD" w:rsidRDefault="004C0D1C" w:rsidP="00EA5138">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نفائس الأصول في شرح المحصول</w:t>
      </w:r>
    </w:p>
    <w:p w:rsidR="004C0D1C" w:rsidRPr="006503DD" w:rsidRDefault="004C0D1C" w:rsidP="00EA5138">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أبو العباس أحمد بن إدريس القرافي، مكتبة نزار مصطفى الباز، 1995م.</w:t>
      </w:r>
    </w:p>
    <w:p w:rsidR="004C0D1C" w:rsidRPr="006503DD" w:rsidRDefault="004C0D1C" w:rsidP="00EA5138">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نهاية السول شرح منهاج الوصول</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جمال الدين عبد الرحيم الإسنوي، تحقيق: شعبان إسماعيل، دار ابن حزم، بيروت، 1999م.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التحبير شرح التحرير في أصول الفقه</w:t>
      </w:r>
    </w:p>
    <w:p w:rsidR="004C0D1C" w:rsidRPr="006503DD" w:rsidRDefault="004C0D1C" w:rsidP="006503DD">
      <w:pPr>
        <w:tabs>
          <w:tab w:val="left" w:pos="1376"/>
        </w:tabs>
        <w:spacing w:after="100" w:afterAutospacing="1" w:line="240" w:lineRule="auto"/>
        <w:ind w:left="290" w:hanging="6"/>
        <w:rPr>
          <w:rFonts w:asciiTheme="majorBidi" w:hAnsiTheme="majorBidi" w:cstheme="majorBidi"/>
          <w:b/>
          <w:bCs/>
          <w:sz w:val="18"/>
          <w:szCs w:val="18"/>
        </w:rPr>
      </w:pPr>
      <w:r w:rsidRPr="006503DD">
        <w:rPr>
          <w:rFonts w:asciiTheme="majorBidi" w:hAnsiTheme="majorBidi" w:cstheme="majorBidi"/>
          <w:b/>
          <w:bCs/>
          <w:sz w:val="18"/>
          <w:szCs w:val="18"/>
          <w:rtl/>
        </w:rPr>
        <w:t>أبو الحسن علي بن سليمان المرداوي، تحقيق: عبد الرحمن بن عبد الله الجبرين وآخرون، مكتبة الرشد، الرياض 2000م.</w:t>
      </w:r>
    </w:p>
    <w:p w:rsidR="004C0D1C" w:rsidRPr="006503DD" w:rsidRDefault="004C0D1C" w:rsidP="006503DD">
      <w:pPr>
        <w:numPr>
          <w:ilvl w:val="0"/>
          <w:numId w:val="1"/>
        </w:numPr>
        <w:tabs>
          <w:tab w:val="num" w:pos="281"/>
          <w:tab w:val="left" w:pos="1376"/>
        </w:tabs>
        <w:spacing w:before="100" w:beforeAutospacing="1" w:after="120" w:line="240" w:lineRule="auto"/>
        <w:ind w:left="284" w:hanging="284"/>
        <w:rPr>
          <w:rFonts w:asciiTheme="majorBidi" w:hAnsiTheme="majorBidi" w:cstheme="majorBidi"/>
          <w:b/>
          <w:bCs/>
          <w:sz w:val="18"/>
          <w:szCs w:val="18"/>
          <w:rtl/>
        </w:rPr>
      </w:pPr>
      <w:r w:rsidRPr="006503DD">
        <w:rPr>
          <w:rFonts w:asciiTheme="majorBidi" w:hAnsiTheme="majorBidi" w:cstheme="majorBidi"/>
          <w:b/>
          <w:bCs/>
          <w:sz w:val="18"/>
          <w:szCs w:val="18"/>
          <w:rtl/>
        </w:rPr>
        <w:t>رفع الحاجب عن مختصر ابن الحاجب</w:t>
      </w:r>
    </w:p>
    <w:p w:rsidR="004C0D1C" w:rsidRPr="006503DD" w:rsidRDefault="004C0D1C" w:rsidP="006503DD">
      <w:pPr>
        <w:tabs>
          <w:tab w:val="left" w:pos="1376"/>
        </w:tabs>
        <w:spacing w:after="120" w:line="240" w:lineRule="auto"/>
        <w:rPr>
          <w:rFonts w:asciiTheme="majorBidi" w:hAnsiTheme="majorBidi" w:cstheme="majorBidi"/>
          <w:b/>
          <w:bCs/>
          <w:sz w:val="18"/>
          <w:szCs w:val="18"/>
          <w:rtl/>
          <w:lang w:bidi="ar-EG"/>
        </w:rPr>
      </w:pPr>
      <w:r w:rsidRPr="006503DD">
        <w:rPr>
          <w:rFonts w:asciiTheme="majorBidi" w:hAnsiTheme="majorBidi" w:cstheme="majorBidi"/>
          <w:b/>
          <w:bCs/>
          <w:sz w:val="18"/>
          <w:szCs w:val="18"/>
          <w:rtl/>
        </w:rPr>
        <w:t>تاج الدين عبد الوهاب بن علي بن عبد الكافي السبكي، تحقيق: عادل أحمد عبد الموجود، علي محمد معوض، عالم الكتب، 1999م.</w:t>
      </w:r>
    </w:p>
    <w:p w:rsidR="006503DD" w:rsidRDefault="006503DD" w:rsidP="007E4D0D">
      <w:pPr>
        <w:jc w:val="center"/>
        <w:rPr>
          <w:rtl/>
          <w:lang w:bidi="ar-EG"/>
        </w:rPr>
        <w:sectPr w:rsidR="006503DD" w:rsidSect="006503DD">
          <w:type w:val="continuous"/>
          <w:pgSz w:w="11906" w:h="16838"/>
          <w:pgMar w:top="1440" w:right="1440" w:bottom="1440" w:left="1440" w:header="720" w:footer="720" w:gutter="0"/>
          <w:cols w:num="2" w:space="720"/>
          <w:bidi/>
          <w:rtlGutter/>
          <w:docGrid w:linePitch="360"/>
        </w:sectPr>
      </w:pPr>
    </w:p>
    <w:p w:rsidR="007E4D0D" w:rsidRDefault="007E4D0D" w:rsidP="007E4D0D">
      <w:pPr>
        <w:jc w:val="center"/>
        <w:rPr>
          <w:lang w:bidi="ar-EG"/>
        </w:rPr>
      </w:pPr>
    </w:p>
    <w:sectPr w:rsidR="007E4D0D" w:rsidSect="006503DD">
      <w:type w:val="continuous"/>
      <w:pgSz w:w="11906" w:h="16838"/>
      <w:pgMar w:top="1440" w:right="1440" w:bottom="1440" w:left="1440" w:header="720" w:footer="720" w:gutter="0"/>
      <w:cols w:space="720"/>
      <w:bidi/>
      <w:rtlGutter/>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GA Granada Regular">
    <w:altName w:val="Times New Roman"/>
    <w:charset w:val="B2"/>
    <w:family w:val="auto"/>
    <w:pitch w:val="variable"/>
    <w:sig w:usb0="00002000" w:usb1="00000000" w:usb2="00000000" w:usb3="00000000" w:csb0="00000040" w:csb1="00000000"/>
  </w:font>
  <w:font w:name="Tahoma">
    <w:panose1 w:val="020B0604030504040204"/>
    <w:charset w:val="00"/>
    <w:family w:val="swiss"/>
    <w:pitch w:val="variable"/>
    <w:sig w:usb0="E1002EFF" w:usb1="C000605B" w:usb2="00000029" w:usb3="00000000" w:csb0="000101FF" w:csb1="00000000"/>
  </w:font>
  <w:font w:name="AL-Hotham">
    <w:altName w:val="Times New Roman"/>
    <w:charset w:val="B2"/>
    <w:family w:val="auto"/>
    <w:pitch w:val="variable"/>
    <w:sig w:usb0="00002000" w:usb1="00000000" w:usb2="00000000" w:usb3="00000000" w:csb0="00000040" w:csb1="00000000"/>
  </w:font>
  <w:font w:name="AGA Rasheeq Bold">
    <w:altName w:val="Times New Roman"/>
    <w:charset w:val="B2"/>
    <w:family w:val="auto"/>
    <w:pitch w:val="variable"/>
    <w:sig w:usb0="00002000"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AE502B5"/>
    <w:multiLevelType w:val="multilevel"/>
    <w:tmpl w:val="B066A6AA"/>
    <w:lvl w:ilvl="0">
      <w:start w:val="1"/>
      <w:numFmt w:val="decimal"/>
      <w:lvlText w:val="%1."/>
      <w:lvlJc w:val="left"/>
      <w:pPr>
        <w:tabs>
          <w:tab w:val="num" w:pos="152"/>
        </w:tabs>
        <w:ind w:left="152" w:hanging="360"/>
      </w:pPr>
    </w:lvl>
    <w:lvl w:ilvl="1">
      <w:start w:val="1"/>
      <w:numFmt w:val="decimal"/>
      <w:lvlText w:val="%2."/>
      <w:lvlJc w:val="left"/>
      <w:pPr>
        <w:tabs>
          <w:tab w:val="num" w:pos="796"/>
        </w:tabs>
        <w:ind w:left="796" w:hanging="284"/>
      </w:pPr>
      <w:rPr>
        <w:rFonts w:hint="default"/>
        <w:b w:val="0"/>
        <w:bCs w:val="0"/>
        <w:color w:val="auto"/>
      </w:rPr>
    </w:lvl>
    <w:lvl w:ilvl="2">
      <w:start w:val="1"/>
      <w:numFmt w:val="lowerRoman"/>
      <w:lvlText w:val="%3."/>
      <w:lvlJc w:val="right"/>
      <w:pPr>
        <w:tabs>
          <w:tab w:val="num" w:pos="1592"/>
        </w:tabs>
        <w:ind w:left="1592" w:hanging="180"/>
      </w:pPr>
    </w:lvl>
    <w:lvl w:ilvl="3">
      <w:start w:val="1"/>
      <w:numFmt w:val="decimal"/>
      <w:lvlText w:val="%4."/>
      <w:lvlJc w:val="left"/>
      <w:pPr>
        <w:tabs>
          <w:tab w:val="num" w:pos="2312"/>
        </w:tabs>
        <w:ind w:left="2312" w:hanging="360"/>
      </w:pPr>
    </w:lvl>
    <w:lvl w:ilvl="4">
      <w:start w:val="1"/>
      <w:numFmt w:val="lowerLetter"/>
      <w:lvlText w:val="%5."/>
      <w:lvlJc w:val="left"/>
      <w:pPr>
        <w:tabs>
          <w:tab w:val="num" w:pos="3032"/>
        </w:tabs>
        <w:ind w:left="3032" w:hanging="360"/>
      </w:pPr>
    </w:lvl>
    <w:lvl w:ilvl="5">
      <w:start w:val="1"/>
      <w:numFmt w:val="lowerRoman"/>
      <w:lvlText w:val="%6."/>
      <w:lvlJc w:val="right"/>
      <w:pPr>
        <w:tabs>
          <w:tab w:val="num" w:pos="3752"/>
        </w:tabs>
        <w:ind w:left="3752" w:hanging="180"/>
      </w:pPr>
    </w:lvl>
    <w:lvl w:ilvl="6">
      <w:start w:val="1"/>
      <w:numFmt w:val="decimal"/>
      <w:lvlText w:val="%7."/>
      <w:lvlJc w:val="left"/>
      <w:pPr>
        <w:tabs>
          <w:tab w:val="num" w:pos="4472"/>
        </w:tabs>
        <w:ind w:left="4472" w:hanging="360"/>
      </w:pPr>
    </w:lvl>
    <w:lvl w:ilvl="7">
      <w:start w:val="1"/>
      <w:numFmt w:val="lowerLetter"/>
      <w:lvlText w:val="%8."/>
      <w:lvlJc w:val="left"/>
      <w:pPr>
        <w:tabs>
          <w:tab w:val="num" w:pos="5192"/>
        </w:tabs>
        <w:ind w:left="5192" w:hanging="360"/>
      </w:pPr>
    </w:lvl>
    <w:lvl w:ilvl="8">
      <w:start w:val="1"/>
      <w:numFmt w:val="lowerRoman"/>
      <w:lvlText w:val="%9."/>
      <w:lvlJc w:val="right"/>
      <w:pPr>
        <w:tabs>
          <w:tab w:val="num" w:pos="5912"/>
        </w:tabs>
        <w:ind w:left="5912"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7E4D0D"/>
    <w:rsid w:val="004C0D1C"/>
    <w:rsid w:val="006503DD"/>
    <w:rsid w:val="006E0AA0"/>
    <w:rsid w:val="007E4D0D"/>
    <w:rsid w:val="007E639D"/>
    <w:rsid w:val="00EA5138"/>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0AA0"/>
    <w:pPr>
      <w:bidi/>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ffiliation">
    <w:name w:val="Affiliation"/>
    <w:rsid w:val="004C0D1C"/>
    <w:pPr>
      <w:suppressAutoHyphens/>
      <w:spacing w:after="0" w:line="240" w:lineRule="auto"/>
      <w:jc w:val="center"/>
    </w:pPr>
    <w:rPr>
      <w:rFonts w:ascii="Times New Roman" w:eastAsia="SimSun" w:hAnsi="Times New Roman" w:cs="Times New Roman"/>
      <w:sz w:val="20"/>
      <w:szCs w:val="20"/>
      <w:lang w:eastAsia="zh-CN"/>
    </w:rPr>
  </w:style>
  <w:style w:type="paragraph" w:customStyle="1" w:styleId="Author">
    <w:name w:val="Author"/>
    <w:rsid w:val="004C0D1C"/>
    <w:pPr>
      <w:suppressAutoHyphens/>
      <w:spacing w:before="360" w:after="40" w:line="240" w:lineRule="auto"/>
      <w:jc w:val="center"/>
    </w:pPr>
    <w:rPr>
      <w:rFonts w:ascii="Times New Roman" w:eastAsia="SimSun" w:hAnsi="Times New Roman" w:cs="Times New Roman"/>
    </w:rPr>
  </w:style>
  <w:style w:type="paragraph" w:styleId="NormalWeb">
    <w:name w:val="Normal (Web)"/>
    <w:basedOn w:val="Normal"/>
    <w:link w:val="NormalWebChar"/>
    <w:unhideWhenUsed/>
    <w:rsid w:val="004C0D1C"/>
    <w:pPr>
      <w:bidi w:val="0"/>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
    <w:name w:val="عنوان المادة"/>
    <w:basedOn w:val="Normal"/>
    <w:next w:val="Normal"/>
    <w:autoRedefine/>
    <w:rsid w:val="006503DD"/>
    <w:pPr>
      <w:spacing w:line="240" w:lineRule="auto"/>
      <w:jc w:val="center"/>
    </w:pPr>
    <w:rPr>
      <w:rFonts w:ascii="Calibri" w:eastAsia="Times New Roman" w:hAnsi="Calibri" w:cs="AGA Granada Regular"/>
      <w:sz w:val="112"/>
      <w:szCs w:val="112"/>
    </w:rPr>
  </w:style>
  <w:style w:type="paragraph" w:customStyle="1" w:styleId="a0">
    <w:name w:val="عنوان جانبي"/>
    <w:basedOn w:val="NormalWeb"/>
    <w:qFormat/>
    <w:rsid w:val="006503DD"/>
    <w:pPr>
      <w:bidi/>
      <w:spacing w:line="500" w:lineRule="exact"/>
      <w:jc w:val="lowKashida"/>
    </w:pPr>
    <w:rPr>
      <w:rFonts w:ascii="Tahoma" w:hAnsi="Tahoma" w:cs="AL-Hotham"/>
      <w:b/>
      <w:bCs/>
      <w:color w:val="000080"/>
      <w:sz w:val="32"/>
      <w:szCs w:val="32"/>
    </w:rPr>
  </w:style>
  <w:style w:type="character" w:customStyle="1" w:styleId="NormalWebChar">
    <w:name w:val="Normal (Web) Char"/>
    <w:basedOn w:val="DefaultParagraphFont"/>
    <w:link w:val="NormalWeb"/>
    <w:rsid w:val="006503DD"/>
    <w:rPr>
      <w:rFonts w:ascii="Times New Roman" w:eastAsia="Times New Roman" w:hAnsi="Times New Roman" w:cs="Times New Roman"/>
      <w:sz w:val="24"/>
      <w:szCs w:val="24"/>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62</TotalTime>
  <Pages>3</Pages>
  <Words>1882</Words>
  <Characters>10731</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12588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miso</dc:creator>
  <cp:lastModifiedBy>miso</cp:lastModifiedBy>
  <cp:revision>1</cp:revision>
  <dcterms:created xsi:type="dcterms:W3CDTF">2013-06-15T10:59:00Z</dcterms:created>
  <dcterms:modified xsi:type="dcterms:W3CDTF">2013-06-15T12:25:00Z</dcterms:modified>
</cp:coreProperties>
</file>