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22" w:rsidRDefault="004B0A97" w:rsidP="004B0A97">
      <w:pPr>
        <w:jc w:val="center"/>
        <w:rPr>
          <w:rFonts w:ascii="Calibri" w:eastAsia="Calibri" w:hAnsi="Calibri" w:cs="AGA Rasheeq Bold" w:hint="cs"/>
          <w:sz w:val="48"/>
          <w:szCs w:val="48"/>
          <w:rtl/>
        </w:rPr>
      </w:pPr>
      <w:r w:rsidRPr="00221022">
        <w:rPr>
          <w:rFonts w:ascii="Calibri" w:eastAsia="Calibri" w:hAnsi="Calibri" w:cs="AGA Rasheeq Bold"/>
          <w:sz w:val="48"/>
          <w:szCs w:val="48"/>
          <w:rtl/>
        </w:rPr>
        <w:t xml:space="preserve">تفريع مسألة "شكر المنعم" على </w:t>
      </w:r>
    </w:p>
    <w:p w:rsidR="00182246" w:rsidRPr="00221022" w:rsidRDefault="004B0A97" w:rsidP="004B0A97">
      <w:pPr>
        <w:jc w:val="center"/>
        <w:rPr>
          <w:rFonts w:hint="cs"/>
          <w:sz w:val="48"/>
          <w:szCs w:val="48"/>
          <w:rtl/>
        </w:rPr>
      </w:pPr>
      <w:r w:rsidRPr="00221022">
        <w:rPr>
          <w:rFonts w:ascii="Calibri" w:eastAsia="Calibri" w:hAnsi="Calibri" w:cs="AGA Rasheeq Bold"/>
          <w:sz w:val="48"/>
          <w:szCs w:val="48"/>
          <w:rtl/>
        </w:rPr>
        <w:t>التحسين والتقبيح العقلي</w:t>
      </w:r>
    </w:p>
    <w:p w:rsidR="004B0A97" w:rsidRPr="000E43A1" w:rsidRDefault="004B0A97" w:rsidP="004B0A97">
      <w:pPr>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4B0A97" w:rsidRPr="000E43A1" w:rsidRDefault="004B0A97" w:rsidP="004B0A97">
      <w:pPr>
        <w:pStyle w:val="Author"/>
        <w:bidi/>
        <w:rPr>
          <w:rFonts w:eastAsia="Times New Roman"/>
        </w:rPr>
      </w:pPr>
      <w:r w:rsidRPr="000E43A1">
        <w:rPr>
          <w:rFonts w:hint="cs"/>
          <w:rtl/>
        </w:rPr>
        <w:t>إعداد / ميسون عقباوى</w:t>
      </w:r>
    </w:p>
    <w:p w:rsidR="004B0A97" w:rsidRPr="000E43A1" w:rsidRDefault="004B0A97" w:rsidP="004B0A97">
      <w:pPr>
        <w:pStyle w:val="Affiliation"/>
        <w:bidi/>
        <w:rPr>
          <w:rFonts w:eastAsia="Times New Roman"/>
        </w:rPr>
      </w:pPr>
      <w:r w:rsidRPr="000E43A1">
        <w:rPr>
          <w:rFonts w:hint="cs"/>
          <w:rtl/>
        </w:rPr>
        <w:t>قسم الدعوة وأصول الدين</w:t>
      </w:r>
    </w:p>
    <w:p w:rsidR="004B0A97" w:rsidRPr="000E43A1" w:rsidRDefault="004B0A97" w:rsidP="004B0A97">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4B0A97" w:rsidRPr="000E43A1" w:rsidRDefault="004B0A97" w:rsidP="004B0A97">
      <w:pPr>
        <w:pStyle w:val="Affiliation"/>
        <w:bidi/>
        <w:rPr>
          <w:rtl/>
        </w:rPr>
      </w:pPr>
      <w:r w:rsidRPr="000E43A1">
        <w:rPr>
          <w:rFonts w:hint="cs"/>
          <w:rtl/>
        </w:rPr>
        <w:t>شاه علم - ماليزيا</w:t>
      </w:r>
    </w:p>
    <w:p w:rsidR="004B0A97" w:rsidRPr="000E43A1" w:rsidRDefault="004B0A97" w:rsidP="004B0A97">
      <w:pPr>
        <w:spacing w:line="240" w:lineRule="auto"/>
        <w:jc w:val="center"/>
        <w:rPr>
          <w:rFonts w:asciiTheme="majorBidi" w:hAnsiTheme="majorBidi" w:cstheme="majorBidi"/>
          <w:sz w:val="18"/>
          <w:szCs w:val="18"/>
          <w:rtl/>
          <w:lang w:bidi="ar-EG"/>
        </w:rPr>
      </w:pPr>
      <w:r w:rsidRPr="000E43A1">
        <w:rPr>
          <w:rFonts w:ascii="Times New Roman" w:eastAsia="SimSun" w:hAnsi="Times New Roman" w:cs="Times New Roman"/>
          <w:sz w:val="20"/>
          <w:szCs w:val="20"/>
          <w:lang w:eastAsia="zh-CN"/>
        </w:rPr>
        <w:t>maysoun.akabawy31@gmail.com</w:t>
      </w:r>
    </w:p>
    <w:p w:rsidR="00221022" w:rsidRDefault="00221022" w:rsidP="00221022">
      <w:pPr>
        <w:pStyle w:val="NormalWeb"/>
        <w:jc w:val="right"/>
        <w:rPr>
          <w:rFonts w:asciiTheme="majorBidi" w:hAnsiTheme="majorBidi" w:cstheme="majorBidi"/>
          <w:b/>
          <w:bCs/>
          <w:sz w:val="18"/>
          <w:szCs w:val="18"/>
          <w:rtl/>
        </w:rPr>
        <w:sectPr w:rsidR="00221022" w:rsidSect="007E639D">
          <w:pgSz w:w="11906" w:h="16838"/>
          <w:pgMar w:top="1440" w:right="1440" w:bottom="1440" w:left="1440" w:header="720" w:footer="720" w:gutter="0"/>
          <w:cols w:space="720"/>
          <w:bidi/>
          <w:rtlGutter/>
          <w:docGrid w:linePitch="360"/>
        </w:sectPr>
      </w:pPr>
    </w:p>
    <w:p w:rsidR="004B0A97" w:rsidRPr="00221022" w:rsidRDefault="004B0A97" w:rsidP="007870B4">
      <w:pPr>
        <w:pStyle w:val="NormalWeb"/>
        <w:jc w:val="right"/>
        <w:rPr>
          <w:rFonts w:asciiTheme="majorBidi" w:hAnsiTheme="majorBidi" w:cstheme="majorBidi"/>
          <w:b/>
          <w:bCs/>
          <w:sz w:val="18"/>
          <w:szCs w:val="18"/>
        </w:rPr>
      </w:pPr>
      <w:r w:rsidRPr="00221022">
        <w:rPr>
          <w:rFonts w:asciiTheme="majorBidi" w:hAnsiTheme="majorBidi" w:cstheme="majorBidi"/>
          <w:b/>
          <w:bCs/>
          <w:sz w:val="18"/>
          <w:szCs w:val="18"/>
          <w:rtl/>
        </w:rPr>
        <w:lastRenderedPageBreak/>
        <w:t xml:space="preserve">الخلاصة – هذا البحث يبحث فى </w:t>
      </w:r>
      <w:r w:rsidR="00221022">
        <w:rPr>
          <w:rFonts w:asciiTheme="majorBidi" w:hAnsiTheme="majorBidi" w:cstheme="majorBidi" w:hint="cs"/>
          <w:b/>
          <w:bCs/>
          <w:sz w:val="18"/>
          <w:szCs w:val="18"/>
          <w:rtl/>
        </w:rPr>
        <w:t>تفريع مسألة "شكر المنعم" على التحسين والتقبيح العقلى</w:t>
      </w:r>
      <w:r w:rsidRPr="00221022">
        <w:rPr>
          <w:rFonts w:asciiTheme="majorBidi" w:hAnsiTheme="majorBidi" w:cstheme="majorBidi"/>
          <w:b/>
          <w:bCs/>
          <w:sz w:val="18"/>
          <w:szCs w:val="18"/>
        </w:rPr>
        <w:br/>
      </w:r>
      <w:r w:rsidRPr="00221022">
        <w:rPr>
          <w:rFonts w:asciiTheme="majorBidi" w:hAnsiTheme="majorBidi" w:cstheme="majorBidi"/>
          <w:b/>
          <w:bCs/>
          <w:sz w:val="18"/>
          <w:szCs w:val="18"/>
          <w:rtl/>
        </w:rPr>
        <w:t xml:space="preserve">الكلمات المفتاحية – </w:t>
      </w:r>
      <w:r w:rsidR="007870B4">
        <w:rPr>
          <w:rFonts w:asciiTheme="majorBidi" w:hAnsiTheme="majorBidi" w:cstheme="majorBidi" w:hint="cs"/>
          <w:b/>
          <w:bCs/>
          <w:sz w:val="18"/>
          <w:szCs w:val="18"/>
          <w:rtl/>
        </w:rPr>
        <w:t xml:space="preserve">التحسين </w:t>
      </w:r>
      <w:r w:rsidRPr="00221022">
        <w:rPr>
          <w:rFonts w:asciiTheme="majorBidi" w:hAnsiTheme="majorBidi" w:cstheme="majorBidi"/>
          <w:b/>
          <w:bCs/>
          <w:sz w:val="18"/>
          <w:szCs w:val="18"/>
          <w:rtl/>
        </w:rPr>
        <w:t xml:space="preserve">، </w:t>
      </w:r>
      <w:r w:rsidR="007870B4">
        <w:rPr>
          <w:rFonts w:asciiTheme="majorBidi" w:hAnsiTheme="majorBidi" w:cstheme="majorBidi" w:hint="cs"/>
          <w:b/>
          <w:bCs/>
          <w:sz w:val="18"/>
          <w:szCs w:val="18"/>
          <w:rtl/>
        </w:rPr>
        <w:t>التقبيح</w:t>
      </w:r>
      <w:r w:rsidRPr="00221022">
        <w:rPr>
          <w:rFonts w:asciiTheme="majorBidi" w:hAnsiTheme="majorBidi" w:cstheme="majorBidi"/>
          <w:b/>
          <w:bCs/>
          <w:sz w:val="18"/>
          <w:szCs w:val="18"/>
          <w:rtl/>
        </w:rPr>
        <w:t xml:space="preserve"> ، </w:t>
      </w:r>
      <w:r w:rsidR="007870B4">
        <w:rPr>
          <w:rFonts w:asciiTheme="majorBidi" w:hAnsiTheme="majorBidi" w:cstheme="majorBidi" w:hint="cs"/>
          <w:b/>
          <w:bCs/>
          <w:sz w:val="18"/>
          <w:szCs w:val="18"/>
          <w:rtl/>
        </w:rPr>
        <w:t>اجتناب</w:t>
      </w:r>
    </w:p>
    <w:p w:rsidR="004B0A97" w:rsidRPr="00221022" w:rsidRDefault="004B0A97" w:rsidP="00221022">
      <w:pPr>
        <w:pStyle w:val="NormalWeb"/>
        <w:jc w:val="center"/>
        <w:rPr>
          <w:rFonts w:asciiTheme="majorBidi" w:hAnsiTheme="majorBidi" w:cstheme="majorBidi"/>
          <w:b/>
          <w:bCs/>
          <w:sz w:val="18"/>
          <w:szCs w:val="18"/>
          <w:lang w:bidi="ar-EG"/>
        </w:rPr>
      </w:pPr>
      <w:r w:rsidRPr="00221022">
        <w:rPr>
          <w:rFonts w:asciiTheme="majorBidi" w:hAnsiTheme="majorBidi" w:cstheme="majorBidi"/>
          <w:b/>
          <w:bCs/>
          <w:sz w:val="18"/>
          <w:szCs w:val="18"/>
          <w:rtl/>
        </w:rPr>
        <w:t>المقدمة</w:t>
      </w:r>
      <w:r w:rsidRPr="00221022">
        <w:rPr>
          <w:rFonts w:asciiTheme="majorBidi" w:hAnsiTheme="majorBidi" w:cstheme="majorBidi"/>
          <w:b/>
          <w:bCs/>
          <w:sz w:val="18"/>
          <w:szCs w:val="18"/>
          <w:lang w:bidi="ar-EG"/>
        </w:rPr>
        <w:t>.I</w:t>
      </w:r>
    </w:p>
    <w:p w:rsidR="004B0A97" w:rsidRPr="00221022" w:rsidRDefault="004B0A97" w:rsidP="00221022">
      <w:pPr>
        <w:pStyle w:val="NormalWeb"/>
        <w:jc w:val="right"/>
        <w:rPr>
          <w:rFonts w:asciiTheme="majorBidi" w:hAnsiTheme="majorBidi" w:cstheme="majorBidi"/>
          <w:b/>
          <w:bCs/>
          <w:sz w:val="18"/>
          <w:szCs w:val="18"/>
          <w:rtl/>
        </w:rPr>
      </w:pPr>
      <w:r w:rsidRPr="00221022">
        <w:rPr>
          <w:rFonts w:asciiTheme="majorBidi" w:hAnsiTheme="majorBidi" w:cstheme="majorBidi"/>
          <w:b/>
          <w:bCs/>
          <w:sz w:val="18"/>
          <w:szCs w:val="18"/>
        </w:rPr>
        <w:br/>
      </w:r>
      <w:r w:rsidRPr="00221022">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221022">
        <w:rPr>
          <w:rFonts w:asciiTheme="majorBidi" w:hAnsiTheme="majorBidi" w:cstheme="majorBidi" w:hint="cs"/>
          <w:b/>
          <w:bCs/>
          <w:sz w:val="18"/>
          <w:szCs w:val="18"/>
          <w:rtl/>
        </w:rPr>
        <w:t>تفريع مسألة "شكر المنعم" على التحسين والتقبيح العقلى</w:t>
      </w:r>
    </w:p>
    <w:p w:rsidR="004B0A97" w:rsidRPr="00221022" w:rsidRDefault="004B0A97" w:rsidP="00221022">
      <w:pPr>
        <w:pStyle w:val="NormalWeb"/>
        <w:jc w:val="center"/>
        <w:rPr>
          <w:rFonts w:asciiTheme="majorBidi" w:hAnsiTheme="majorBidi" w:cstheme="majorBidi"/>
          <w:b/>
          <w:bCs/>
          <w:sz w:val="18"/>
          <w:szCs w:val="18"/>
        </w:rPr>
      </w:pPr>
      <w:r w:rsidRPr="00221022">
        <w:rPr>
          <w:rFonts w:asciiTheme="majorBidi" w:hAnsiTheme="majorBidi" w:cstheme="majorBidi"/>
          <w:b/>
          <w:bCs/>
          <w:sz w:val="18"/>
          <w:szCs w:val="18"/>
        </w:rPr>
        <w:br/>
      </w:r>
      <w:r w:rsidRPr="00221022">
        <w:rPr>
          <w:rFonts w:asciiTheme="majorBidi" w:hAnsiTheme="majorBidi" w:cstheme="majorBidi"/>
          <w:b/>
          <w:bCs/>
          <w:sz w:val="18"/>
          <w:szCs w:val="18"/>
          <w:rtl/>
        </w:rPr>
        <w:t>.عنوان المقال</w:t>
      </w:r>
      <w:r w:rsidRPr="00221022">
        <w:rPr>
          <w:rFonts w:asciiTheme="majorBidi" w:hAnsiTheme="majorBidi" w:cstheme="majorBidi"/>
          <w:b/>
          <w:bCs/>
          <w:sz w:val="18"/>
          <w:szCs w:val="18"/>
        </w:rPr>
        <w:t>II</w:t>
      </w:r>
    </w:p>
    <w:p w:rsidR="004B0A97" w:rsidRPr="00221022" w:rsidRDefault="004B0A97" w:rsidP="00221022">
      <w:pPr>
        <w:pStyle w:val="NormalWeb"/>
        <w:bidi/>
        <w:spacing w:after="120"/>
        <w:jc w:val="lowKashida"/>
        <w:rPr>
          <w:rFonts w:asciiTheme="majorBidi" w:hAnsiTheme="majorBidi" w:cstheme="majorBidi"/>
          <w:b/>
          <w:bCs/>
          <w:sz w:val="18"/>
          <w:szCs w:val="18"/>
        </w:rPr>
      </w:pPr>
      <w:r w:rsidRPr="00221022">
        <w:rPr>
          <w:rFonts w:asciiTheme="majorBidi" w:hAnsiTheme="majorBidi" w:cstheme="majorBidi"/>
          <w:b/>
          <w:bCs/>
          <w:sz w:val="18"/>
          <w:szCs w:val="18"/>
          <w:rtl/>
        </w:rPr>
        <w:t>الأشاعرة جعلوا مسألة شكر المنعم مفرعة على التحسين والتقبيح، يقول الإمام الزركشي في كتابه (البحر المحيط): وليس بجيد، لماذا؟ قال: لأن الشكر هو اجتناب القبيح وارتكاب الحسن، وهو عين مسألة التحسين والتقبيح العقليين، فكيف يقال: إنها فرعها. وإلى ذلك أشار ابن برهان في (الأوسط) فقال: هذه المسألة عين مسألة التحسين والتقبيح، ولا نقول هي فرعها؛ إذ لا بد وأن يتخيل بين الفرع والأصل نوع المناسبة وهي هي، كيف هي هي؟ نقول: معاشر المعتزلة إن عنيتم بالشكر قول القائل: الحمد لله والشكر لله فقد ارتكبتم محالًا، إذ العقل لا يهتدي لإيجاب كلمة، وإن عنيتم بالشكر معرفة الله فباطل أيضًا؛ لأن الشكر يستدعي تقدير المعرفة، ولهذا قيل أعرف الله أشكره، فإن قالوا: عنينا بوجوبه عقلًا ما عنيتم أنتم بوجوبه سمعًا؛ قلنا: نحن نعني بوجوب شكر المنعم سمعًا امتثال أوامره والانتهاء عن نواهيه، قالوا: فنحن أيضًا نريد ذلك الإتيان بمستحسنات العقول والامتناع عن مستقبحاتها.</w:t>
      </w:r>
    </w:p>
    <w:p w:rsidR="004B0A97" w:rsidRPr="00221022" w:rsidRDefault="004B0A97" w:rsidP="00221022">
      <w:pPr>
        <w:pStyle w:val="NormalWeb"/>
        <w:bidi/>
        <w:spacing w:after="120"/>
        <w:jc w:val="lowKashida"/>
        <w:rPr>
          <w:rFonts w:asciiTheme="majorBidi" w:hAnsiTheme="majorBidi" w:cstheme="majorBidi"/>
          <w:b/>
          <w:bCs/>
          <w:sz w:val="18"/>
          <w:szCs w:val="18"/>
        </w:rPr>
      </w:pPr>
      <w:r w:rsidRPr="00221022">
        <w:rPr>
          <w:rFonts w:asciiTheme="majorBidi" w:hAnsiTheme="majorBidi" w:cstheme="majorBidi"/>
          <w:b/>
          <w:bCs/>
          <w:sz w:val="18"/>
          <w:szCs w:val="18"/>
          <w:rtl/>
        </w:rPr>
        <w:t>فقد تبين بهذا التفسير أن هذه المسألة -وهي مسألة شكر المنعم- هي عين مسألة التحسين والتقبيح حذو القذة بالقذة، فبطلان مذهبهم هنا معلوم من تلك، من مسألة التحسين والتقبيح، إلا أن العلماء أفردوا هذه من تلك الجملة لعبارات رشيقة تختص بها، ومعانٍ موفقة نذكرها يظهر منها سقوط كلامهم فيها. وأما الثاني فلأن ما لا يقضي العقل فيه بشيء لا يتجه تفريعه على الأصل السابق.</w:t>
      </w:r>
    </w:p>
    <w:p w:rsidR="004B0A97" w:rsidRPr="00221022" w:rsidRDefault="004B0A97" w:rsidP="00221022">
      <w:pPr>
        <w:pStyle w:val="ListParagraph"/>
        <w:spacing w:line="240" w:lineRule="auto"/>
        <w:ind w:left="373"/>
        <w:jc w:val="center"/>
        <w:rPr>
          <w:rFonts w:asciiTheme="majorBidi" w:hAnsiTheme="majorBidi" w:cstheme="majorBidi"/>
          <w:b/>
          <w:bCs/>
          <w:sz w:val="18"/>
          <w:szCs w:val="18"/>
          <w:rtl/>
        </w:rPr>
      </w:pPr>
      <w:r w:rsidRPr="00221022">
        <w:rPr>
          <w:rFonts w:asciiTheme="majorBidi" w:hAnsiTheme="majorBidi" w:cstheme="majorBidi"/>
          <w:b/>
          <w:bCs/>
          <w:sz w:val="18"/>
          <w:szCs w:val="18"/>
          <w:rtl/>
        </w:rPr>
        <w:t>المراجع والمصادر</w:t>
      </w:r>
    </w:p>
    <w:p w:rsidR="004B0A97" w:rsidRPr="00221022" w:rsidRDefault="004B0A97" w:rsidP="0022102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21022">
        <w:rPr>
          <w:rFonts w:asciiTheme="majorBidi" w:hAnsiTheme="majorBidi" w:cstheme="majorBidi"/>
          <w:b/>
          <w:bCs/>
          <w:sz w:val="18"/>
          <w:szCs w:val="18"/>
          <w:rtl/>
        </w:rPr>
        <w:t>الإحكام في أصول الأحكام</w:t>
      </w:r>
    </w:p>
    <w:p w:rsidR="004B0A97" w:rsidRPr="00221022" w:rsidRDefault="004B0A97" w:rsidP="00221022">
      <w:pPr>
        <w:spacing w:after="100" w:afterAutospacing="1" w:line="240" w:lineRule="auto"/>
        <w:ind w:left="290" w:hanging="6"/>
        <w:jc w:val="lowKashida"/>
        <w:rPr>
          <w:rFonts w:asciiTheme="majorBidi" w:hAnsiTheme="majorBidi" w:cstheme="majorBidi"/>
          <w:b/>
          <w:bCs/>
          <w:sz w:val="18"/>
          <w:szCs w:val="18"/>
          <w:rtl/>
        </w:rPr>
      </w:pPr>
      <w:r w:rsidRPr="00221022">
        <w:rPr>
          <w:rFonts w:asciiTheme="majorBidi" w:hAnsiTheme="majorBidi" w:cstheme="majorBidi"/>
          <w:b/>
          <w:bCs/>
          <w:sz w:val="18"/>
          <w:szCs w:val="18"/>
          <w:rtl/>
        </w:rPr>
        <w:t>سيف الدين علي بن أبي علي بن محمد الآمدي، دار الكتب العلمية، بيروت، 1990م.</w:t>
      </w:r>
    </w:p>
    <w:p w:rsidR="004B0A97" w:rsidRPr="00221022" w:rsidRDefault="004B0A97" w:rsidP="0022102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21022">
        <w:rPr>
          <w:rFonts w:asciiTheme="majorBidi" w:hAnsiTheme="majorBidi" w:cstheme="majorBidi"/>
          <w:b/>
          <w:bCs/>
          <w:sz w:val="18"/>
          <w:szCs w:val="18"/>
          <w:rtl/>
        </w:rPr>
        <w:t>البرهان في أصول الفقه</w:t>
      </w:r>
    </w:p>
    <w:p w:rsidR="004B0A97" w:rsidRPr="00221022" w:rsidRDefault="004B0A97" w:rsidP="00221022">
      <w:pPr>
        <w:spacing w:after="100" w:afterAutospacing="1" w:line="240" w:lineRule="auto"/>
        <w:ind w:left="290" w:hanging="6"/>
        <w:jc w:val="lowKashida"/>
        <w:rPr>
          <w:rFonts w:asciiTheme="majorBidi" w:hAnsiTheme="majorBidi" w:cstheme="majorBidi"/>
          <w:b/>
          <w:bCs/>
          <w:sz w:val="18"/>
          <w:szCs w:val="18"/>
          <w:rtl/>
          <w:lang w:bidi="ar-EG"/>
        </w:rPr>
      </w:pPr>
      <w:r w:rsidRPr="00221022">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4B0A97" w:rsidRPr="00221022" w:rsidRDefault="004B0A97" w:rsidP="0022102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21022">
        <w:rPr>
          <w:rFonts w:asciiTheme="majorBidi" w:hAnsiTheme="majorBidi" w:cstheme="majorBidi"/>
          <w:b/>
          <w:bCs/>
          <w:sz w:val="18"/>
          <w:szCs w:val="18"/>
          <w:rtl/>
        </w:rPr>
        <w:lastRenderedPageBreak/>
        <w:t>البحر المحيط في أصول الفقه</w:t>
      </w:r>
    </w:p>
    <w:p w:rsidR="004B0A97" w:rsidRPr="00221022" w:rsidRDefault="004B0A97" w:rsidP="00221022">
      <w:pPr>
        <w:spacing w:after="100" w:afterAutospacing="1" w:line="240" w:lineRule="auto"/>
        <w:ind w:left="290" w:hanging="6"/>
        <w:jc w:val="lowKashida"/>
        <w:rPr>
          <w:rFonts w:asciiTheme="majorBidi" w:hAnsiTheme="majorBidi" w:cstheme="majorBidi"/>
          <w:b/>
          <w:bCs/>
          <w:sz w:val="18"/>
          <w:szCs w:val="18"/>
          <w:rtl/>
        </w:rPr>
      </w:pPr>
      <w:r w:rsidRPr="00221022">
        <w:rPr>
          <w:rFonts w:asciiTheme="majorBidi" w:hAnsiTheme="majorBidi" w:cstheme="majorBidi"/>
          <w:b/>
          <w:bCs/>
          <w:sz w:val="18"/>
          <w:szCs w:val="18"/>
          <w:rtl/>
        </w:rPr>
        <w:t>بدر الدين محمد بن بهادر الزركشي، وزارة الأوقاف والشئون الإسلامية، الكويت، 1988م.</w:t>
      </w:r>
    </w:p>
    <w:p w:rsidR="004B0A97" w:rsidRPr="00221022" w:rsidRDefault="004B0A97" w:rsidP="0022102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21022">
        <w:rPr>
          <w:rFonts w:asciiTheme="majorBidi" w:hAnsiTheme="majorBidi" w:cstheme="majorBidi"/>
          <w:b/>
          <w:bCs/>
          <w:sz w:val="18"/>
          <w:szCs w:val="18"/>
          <w:rtl/>
        </w:rPr>
        <w:t>تشنيف المسامع بجمع الجوامع</w:t>
      </w:r>
    </w:p>
    <w:p w:rsidR="004B0A97" w:rsidRPr="00221022" w:rsidRDefault="004B0A97" w:rsidP="00221022">
      <w:pPr>
        <w:spacing w:after="100" w:afterAutospacing="1" w:line="240" w:lineRule="auto"/>
        <w:ind w:left="290" w:hanging="6"/>
        <w:jc w:val="lowKashida"/>
        <w:rPr>
          <w:rFonts w:asciiTheme="majorBidi" w:hAnsiTheme="majorBidi" w:cstheme="majorBidi"/>
          <w:b/>
          <w:bCs/>
          <w:sz w:val="18"/>
          <w:szCs w:val="18"/>
        </w:rPr>
      </w:pPr>
      <w:r w:rsidRPr="00221022">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4B0A97" w:rsidRPr="00221022" w:rsidRDefault="004B0A97" w:rsidP="0022102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21022">
        <w:rPr>
          <w:rFonts w:asciiTheme="majorBidi" w:hAnsiTheme="majorBidi" w:cstheme="majorBidi"/>
          <w:b/>
          <w:bCs/>
          <w:sz w:val="18"/>
          <w:szCs w:val="18"/>
          <w:rtl/>
        </w:rPr>
        <w:t>روضة الناظر وجنة المناظر</w:t>
      </w:r>
    </w:p>
    <w:p w:rsidR="004B0A97" w:rsidRPr="00221022" w:rsidRDefault="004B0A97" w:rsidP="00221022">
      <w:pPr>
        <w:spacing w:after="100" w:afterAutospacing="1" w:line="240" w:lineRule="auto"/>
        <w:ind w:left="290" w:hanging="6"/>
        <w:jc w:val="lowKashida"/>
        <w:rPr>
          <w:rFonts w:asciiTheme="majorBidi" w:hAnsiTheme="majorBidi" w:cstheme="majorBidi"/>
          <w:b/>
          <w:bCs/>
          <w:sz w:val="18"/>
          <w:szCs w:val="18"/>
        </w:rPr>
      </w:pPr>
      <w:r w:rsidRPr="00221022">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4B0A97" w:rsidRPr="00221022" w:rsidRDefault="004B0A97" w:rsidP="0022102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21022">
        <w:rPr>
          <w:rFonts w:asciiTheme="majorBidi" w:hAnsiTheme="majorBidi" w:cstheme="majorBidi"/>
          <w:b/>
          <w:bCs/>
          <w:sz w:val="18"/>
          <w:szCs w:val="18"/>
          <w:rtl/>
        </w:rPr>
        <w:t>شرح الكوكب المنير</w:t>
      </w:r>
    </w:p>
    <w:p w:rsidR="004B0A97" w:rsidRPr="00221022" w:rsidRDefault="004B0A97" w:rsidP="00221022">
      <w:pPr>
        <w:spacing w:after="100" w:afterAutospacing="1" w:line="240" w:lineRule="auto"/>
        <w:ind w:left="290" w:hanging="6"/>
        <w:jc w:val="lowKashida"/>
        <w:rPr>
          <w:rFonts w:asciiTheme="majorBidi" w:hAnsiTheme="majorBidi" w:cstheme="majorBidi"/>
          <w:b/>
          <w:bCs/>
          <w:sz w:val="18"/>
          <w:szCs w:val="18"/>
          <w:rtl/>
        </w:rPr>
      </w:pPr>
      <w:r w:rsidRPr="00221022">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4B0A97" w:rsidRPr="00221022" w:rsidRDefault="004B0A97" w:rsidP="0022102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21022">
        <w:rPr>
          <w:rFonts w:asciiTheme="majorBidi" w:hAnsiTheme="majorBidi" w:cstheme="majorBidi"/>
          <w:b/>
          <w:bCs/>
          <w:sz w:val="18"/>
          <w:szCs w:val="18"/>
          <w:rtl/>
        </w:rPr>
        <w:t>الكاشف عن المحصول في علم الأصول</w:t>
      </w:r>
    </w:p>
    <w:p w:rsidR="004B0A97" w:rsidRPr="00221022" w:rsidRDefault="004B0A97" w:rsidP="00221022">
      <w:pPr>
        <w:spacing w:after="100" w:afterAutospacing="1" w:line="240" w:lineRule="auto"/>
        <w:ind w:left="290" w:hanging="6"/>
        <w:jc w:val="lowKashida"/>
        <w:rPr>
          <w:rFonts w:asciiTheme="majorBidi" w:hAnsiTheme="majorBidi" w:cstheme="majorBidi"/>
          <w:b/>
          <w:bCs/>
          <w:sz w:val="18"/>
          <w:szCs w:val="18"/>
        </w:rPr>
      </w:pPr>
      <w:r w:rsidRPr="00221022">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4B0A97" w:rsidRPr="00221022" w:rsidRDefault="004B0A97" w:rsidP="0022102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21022">
        <w:rPr>
          <w:rFonts w:asciiTheme="majorBidi" w:hAnsiTheme="majorBidi" w:cstheme="majorBidi"/>
          <w:b/>
          <w:bCs/>
          <w:sz w:val="18"/>
          <w:szCs w:val="18"/>
          <w:rtl/>
        </w:rPr>
        <w:t>المحصول في علم الأصول</w:t>
      </w:r>
    </w:p>
    <w:p w:rsidR="004B0A97" w:rsidRPr="00221022" w:rsidRDefault="004B0A97" w:rsidP="00221022">
      <w:pPr>
        <w:spacing w:after="100" w:afterAutospacing="1" w:line="240" w:lineRule="auto"/>
        <w:ind w:left="290" w:hanging="6"/>
        <w:jc w:val="lowKashida"/>
        <w:rPr>
          <w:rFonts w:asciiTheme="majorBidi" w:hAnsiTheme="majorBidi" w:cstheme="majorBidi"/>
          <w:b/>
          <w:bCs/>
          <w:sz w:val="18"/>
          <w:szCs w:val="18"/>
        </w:rPr>
      </w:pPr>
      <w:r w:rsidRPr="00221022">
        <w:rPr>
          <w:rFonts w:asciiTheme="majorBidi" w:hAnsiTheme="majorBidi" w:cstheme="majorBidi"/>
          <w:b/>
          <w:bCs/>
          <w:sz w:val="18"/>
          <w:szCs w:val="18"/>
          <w:rtl/>
        </w:rPr>
        <w:t>فخر الرازي محمد بن عمر بن الحسين الرازي، طبعة دار الكتب العلمية، بيروت، 1988م.</w:t>
      </w:r>
    </w:p>
    <w:p w:rsidR="004B0A97" w:rsidRPr="00221022" w:rsidRDefault="004B0A97" w:rsidP="0022102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21022">
        <w:rPr>
          <w:rFonts w:asciiTheme="majorBidi" w:hAnsiTheme="majorBidi" w:cstheme="majorBidi"/>
          <w:b/>
          <w:bCs/>
          <w:sz w:val="18"/>
          <w:szCs w:val="18"/>
          <w:rtl/>
        </w:rPr>
        <w:t>المعتمد في أصول الفقه</w:t>
      </w:r>
    </w:p>
    <w:p w:rsidR="004B0A97" w:rsidRPr="00221022" w:rsidRDefault="004B0A97" w:rsidP="00221022">
      <w:pPr>
        <w:spacing w:after="100" w:afterAutospacing="1" w:line="240" w:lineRule="auto"/>
        <w:ind w:left="290" w:hanging="6"/>
        <w:jc w:val="lowKashida"/>
        <w:rPr>
          <w:rFonts w:asciiTheme="majorBidi" w:hAnsiTheme="majorBidi" w:cstheme="majorBidi"/>
          <w:b/>
          <w:bCs/>
          <w:sz w:val="18"/>
          <w:szCs w:val="18"/>
        </w:rPr>
      </w:pPr>
      <w:r w:rsidRPr="00221022">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4B0A97" w:rsidRPr="00221022" w:rsidRDefault="004B0A97" w:rsidP="0022102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21022">
        <w:rPr>
          <w:rFonts w:asciiTheme="majorBidi" w:hAnsiTheme="majorBidi" w:cstheme="majorBidi"/>
          <w:b/>
          <w:bCs/>
          <w:sz w:val="18"/>
          <w:szCs w:val="18"/>
          <w:rtl/>
        </w:rPr>
        <w:t>نفائس الأصول في شرح المحصول</w:t>
      </w:r>
    </w:p>
    <w:p w:rsidR="004B0A97" w:rsidRPr="00221022" w:rsidRDefault="004B0A97" w:rsidP="00221022">
      <w:pPr>
        <w:spacing w:after="100" w:afterAutospacing="1" w:line="240" w:lineRule="auto"/>
        <w:ind w:left="290" w:hanging="6"/>
        <w:jc w:val="lowKashida"/>
        <w:rPr>
          <w:rFonts w:asciiTheme="majorBidi" w:hAnsiTheme="majorBidi" w:cstheme="majorBidi"/>
          <w:b/>
          <w:bCs/>
          <w:sz w:val="18"/>
          <w:szCs w:val="18"/>
        </w:rPr>
      </w:pPr>
      <w:r w:rsidRPr="00221022">
        <w:rPr>
          <w:rFonts w:asciiTheme="majorBidi" w:hAnsiTheme="majorBidi" w:cstheme="majorBidi"/>
          <w:b/>
          <w:bCs/>
          <w:sz w:val="18"/>
          <w:szCs w:val="18"/>
          <w:rtl/>
        </w:rPr>
        <w:t>أبو العباس أحمد بن إدريس القرافي، مكتبة نزار مصطفى الباز، 1995م.</w:t>
      </w:r>
    </w:p>
    <w:p w:rsidR="004B0A97" w:rsidRPr="00221022" w:rsidRDefault="004B0A97" w:rsidP="0022102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21022">
        <w:rPr>
          <w:rFonts w:asciiTheme="majorBidi" w:hAnsiTheme="majorBidi" w:cstheme="majorBidi"/>
          <w:b/>
          <w:bCs/>
          <w:sz w:val="18"/>
          <w:szCs w:val="18"/>
          <w:rtl/>
        </w:rPr>
        <w:t>نهاية السول شرح منهاج الوصول</w:t>
      </w:r>
    </w:p>
    <w:p w:rsidR="004B0A97" w:rsidRPr="00221022" w:rsidRDefault="004B0A97" w:rsidP="00221022">
      <w:pPr>
        <w:spacing w:after="100" w:afterAutospacing="1" w:line="240" w:lineRule="auto"/>
        <w:ind w:left="290" w:hanging="6"/>
        <w:jc w:val="lowKashida"/>
        <w:rPr>
          <w:rFonts w:asciiTheme="majorBidi" w:hAnsiTheme="majorBidi" w:cstheme="majorBidi"/>
          <w:b/>
          <w:bCs/>
          <w:sz w:val="18"/>
          <w:szCs w:val="18"/>
        </w:rPr>
      </w:pPr>
      <w:r w:rsidRPr="00221022">
        <w:rPr>
          <w:rFonts w:asciiTheme="majorBidi" w:hAnsiTheme="majorBidi" w:cstheme="majorBidi"/>
          <w:b/>
          <w:bCs/>
          <w:sz w:val="18"/>
          <w:szCs w:val="18"/>
          <w:rtl/>
        </w:rPr>
        <w:t>جمال الدين عبد الرحيم الإسنوي، تحقيق: شعبان إسماعيل، دار ابن حزم، بيروت، 1999م.</w:t>
      </w:r>
    </w:p>
    <w:p w:rsidR="004B0A97" w:rsidRPr="00221022" w:rsidRDefault="004B0A97" w:rsidP="0022102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21022">
        <w:rPr>
          <w:rFonts w:asciiTheme="majorBidi" w:hAnsiTheme="majorBidi" w:cstheme="majorBidi"/>
          <w:b/>
          <w:bCs/>
          <w:sz w:val="18"/>
          <w:szCs w:val="18"/>
          <w:rtl/>
        </w:rPr>
        <w:t>التحبير شرح التحرير في أصول الفقه</w:t>
      </w:r>
    </w:p>
    <w:p w:rsidR="004B0A97" w:rsidRPr="00221022" w:rsidRDefault="004B0A97" w:rsidP="00221022">
      <w:pPr>
        <w:spacing w:after="100" w:afterAutospacing="1" w:line="240" w:lineRule="auto"/>
        <w:ind w:left="290" w:hanging="6"/>
        <w:jc w:val="lowKashida"/>
        <w:rPr>
          <w:rFonts w:asciiTheme="majorBidi" w:hAnsiTheme="majorBidi" w:cstheme="majorBidi"/>
          <w:b/>
          <w:bCs/>
          <w:sz w:val="18"/>
          <w:szCs w:val="18"/>
        </w:rPr>
      </w:pPr>
      <w:r w:rsidRPr="00221022">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4B0A97" w:rsidRPr="00221022" w:rsidRDefault="004B0A97" w:rsidP="0022102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21022">
        <w:rPr>
          <w:rFonts w:asciiTheme="majorBidi" w:hAnsiTheme="majorBidi" w:cstheme="majorBidi"/>
          <w:b/>
          <w:bCs/>
          <w:sz w:val="18"/>
          <w:szCs w:val="18"/>
          <w:rtl/>
        </w:rPr>
        <w:lastRenderedPageBreak/>
        <w:t>رفع الحاجب عن مختصر ابن الحاجب</w:t>
      </w:r>
    </w:p>
    <w:p w:rsidR="004B0A97" w:rsidRPr="00221022" w:rsidRDefault="004B0A97" w:rsidP="00221022">
      <w:pPr>
        <w:spacing w:after="120" w:line="240" w:lineRule="auto"/>
        <w:jc w:val="lowKashida"/>
        <w:rPr>
          <w:rFonts w:asciiTheme="majorBidi" w:hAnsiTheme="majorBidi" w:cstheme="majorBidi"/>
          <w:b/>
          <w:bCs/>
          <w:sz w:val="18"/>
          <w:szCs w:val="18"/>
          <w:rtl/>
        </w:rPr>
      </w:pPr>
      <w:r w:rsidRPr="00221022">
        <w:rPr>
          <w:rFonts w:asciiTheme="majorBidi" w:hAnsiTheme="majorBidi" w:cstheme="majorBidi"/>
          <w:b/>
          <w:bCs/>
          <w:sz w:val="18"/>
          <w:szCs w:val="18"/>
          <w:rtl/>
        </w:rPr>
        <w:lastRenderedPageBreak/>
        <w:t>تاج الدين عبد الوهاب بن علي بن عبد الكافي السبكي، تحقيق: عادل أحمد عبد الموجود، علي محمد معوض، عالم الكتب، 1999م.</w:t>
      </w:r>
    </w:p>
    <w:p w:rsidR="00221022" w:rsidRDefault="00221022" w:rsidP="004B0A97">
      <w:pPr>
        <w:rPr>
          <w:rtl/>
          <w:lang w:bidi="ar-EG"/>
        </w:rPr>
        <w:sectPr w:rsidR="00221022" w:rsidSect="00221022">
          <w:type w:val="continuous"/>
          <w:pgSz w:w="11906" w:h="16838"/>
          <w:pgMar w:top="1440" w:right="1440" w:bottom="1440" w:left="1440" w:header="720" w:footer="720" w:gutter="0"/>
          <w:cols w:num="2" w:space="720"/>
          <w:bidi/>
          <w:rtlGutter/>
          <w:docGrid w:linePitch="360"/>
        </w:sectPr>
      </w:pPr>
    </w:p>
    <w:p w:rsidR="004B0A97" w:rsidRPr="004B0A97" w:rsidRDefault="004B0A97" w:rsidP="004B0A97">
      <w:pPr>
        <w:rPr>
          <w:rFonts w:hint="cs"/>
          <w:lang w:bidi="ar-EG"/>
        </w:rPr>
      </w:pPr>
    </w:p>
    <w:sectPr w:rsidR="004B0A97" w:rsidRPr="004B0A97" w:rsidSect="00221022">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4B0A97"/>
    <w:rsid w:val="00182246"/>
    <w:rsid w:val="00221022"/>
    <w:rsid w:val="004B0A97"/>
    <w:rsid w:val="007870B4"/>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4B0A9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B0A97"/>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4B0A9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4B0A97"/>
    <w:rPr>
      <w:rFonts w:ascii="Times New Roman" w:eastAsia="Times New Roman" w:hAnsi="Times New Roman" w:cs="Times New Roman"/>
      <w:sz w:val="24"/>
      <w:szCs w:val="24"/>
    </w:rPr>
  </w:style>
  <w:style w:type="paragraph" w:styleId="ListParagraph">
    <w:name w:val="List Paragraph"/>
    <w:basedOn w:val="Normal"/>
    <w:uiPriority w:val="34"/>
    <w:qFormat/>
    <w:rsid w:val="004B0A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2013-06-14T14:50:00Z</dcterms:created>
  <dcterms:modified xsi:type="dcterms:W3CDTF">2013-06-14T15:11:00Z</dcterms:modified>
</cp:coreProperties>
</file>