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F9" w:rsidRDefault="007965F9" w:rsidP="007965F9">
      <w:pPr>
        <w:jc w:val="center"/>
        <w:rPr>
          <w:rFonts w:ascii="Calibri" w:eastAsia="Calibri" w:hAnsi="Calibri" w:cs="AGA Rasheeq Bold"/>
          <w:sz w:val="48"/>
          <w:szCs w:val="48"/>
          <w:rtl/>
        </w:rPr>
      </w:pPr>
      <w:r w:rsidRPr="007965F9">
        <w:rPr>
          <w:rFonts w:ascii="Calibri" w:eastAsia="Calibri" w:hAnsi="Calibri" w:cs="AGA Rasheeq Bold"/>
          <w:sz w:val="48"/>
          <w:szCs w:val="48"/>
          <w:rtl/>
        </w:rPr>
        <w:t xml:space="preserve">تعارض قبيحين، وتعارض الْمُجْمَعِ عليه </w:t>
      </w:r>
    </w:p>
    <w:p w:rsidR="001A20CC" w:rsidRPr="007965F9" w:rsidRDefault="007965F9" w:rsidP="007965F9">
      <w:pPr>
        <w:jc w:val="center"/>
        <w:rPr>
          <w:rFonts w:ascii="Calibri" w:eastAsia="Calibri" w:hAnsi="Calibri" w:cs="AGA Rasheeq Bold"/>
          <w:sz w:val="48"/>
          <w:szCs w:val="48"/>
          <w:rtl/>
        </w:rPr>
      </w:pPr>
      <w:r w:rsidRPr="007965F9">
        <w:rPr>
          <w:rFonts w:ascii="Calibri" w:eastAsia="Calibri" w:hAnsi="Calibri" w:cs="AGA Rasheeq Bold"/>
          <w:sz w:val="48"/>
          <w:szCs w:val="48"/>
          <w:rtl/>
        </w:rPr>
        <w:t>والْمُختلَف فيه</w:t>
      </w:r>
    </w:p>
    <w:p w:rsidR="00A263C1" w:rsidRDefault="005F5EA2" w:rsidP="00A263C1">
      <w:pPr>
        <w:jc w:val="center"/>
        <w:rPr>
          <w:rFonts w:eastAsia="Times New Roman"/>
          <w:i/>
          <w:iCs/>
        </w:rPr>
      </w:pPr>
      <w:r>
        <w:rPr>
          <w:rFonts w:hint="cs"/>
          <w:rtl/>
        </w:rPr>
        <w:t>بحث فى النحو</w:t>
      </w:r>
      <w:r>
        <w:br/>
      </w:r>
      <w:proofErr w:type="spellStart"/>
      <w:r w:rsidR="00A263C1">
        <w:rPr>
          <w:i/>
          <w:iCs/>
          <w:rtl/>
        </w:rPr>
        <w:t>إعداد/</w:t>
      </w:r>
      <w:proofErr w:type="spellEnd"/>
      <w:r w:rsidR="00A263C1">
        <w:rPr>
          <w:i/>
          <w:iCs/>
          <w:rtl/>
        </w:rPr>
        <w:t xml:space="preserve"> د. وليد علي الطنطاوي</w:t>
      </w:r>
    </w:p>
    <w:p w:rsidR="00A263C1" w:rsidRDefault="00A263C1" w:rsidP="00A263C1">
      <w:pPr>
        <w:bidi w:val="0"/>
        <w:jc w:val="center"/>
        <w:rPr>
          <w:rFonts w:eastAsia="SimSun"/>
          <w:i/>
          <w:iCs/>
          <w:sz w:val="20"/>
          <w:szCs w:val="20"/>
        </w:rPr>
      </w:pPr>
      <w:r>
        <w:rPr>
          <w:i/>
          <w:iCs/>
          <w:rtl/>
        </w:rPr>
        <w:t>قسم اللغة العربية</w:t>
      </w:r>
    </w:p>
    <w:p w:rsidR="00A263C1" w:rsidRDefault="00A263C1" w:rsidP="00A263C1">
      <w:pPr>
        <w:bidi w:val="0"/>
        <w:jc w:val="center"/>
        <w:rPr>
          <w:i/>
          <w:iCs/>
        </w:rPr>
      </w:pPr>
      <w:proofErr w:type="gramStart"/>
      <w:r>
        <w:rPr>
          <w:i/>
          <w:iCs/>
          <w:rtl/>
        </w:rPr>
        <w:t>كلية</w:t>
      </w:r>
      <w:proofErr w:type="gramEnd"/>
      <w:r>
        <w:rPr>
          <w:i/>
          <w:iCs/>
          <w:rtl/>
        </w:rPr>
        <w:t xml:space="preserve"> اللغات </w:t>
      </w:r>
      <w:proofErr w:type="spellStart"/>
      <w:r>
        <w:rPr>
          <w:i/>
          <w:iCs/>
          <w:rtl/>
        </w:rPr>
        <w:t>–</w:t>
      </w:r>
      <w:proofErr w:type="spellEnd"/>
      <w:r>
        <w:rPr>
          <w:i/>
          <w:iCs/>
          <w:rtl/>
        </w:rPr>
        <w:t xml:space="preserve"> جامعة المدينة العالمية</w:t>
      </w:r>
    </w:p>
    <w:p w:rsidR="00A263C1" w:rsidRDefault="00A263C1" w:rsidP="00A263C1">
      <w:pPr>
        <w:bidi w:val="0"/>
        <w:jc w:val="center"/>
        <w:rPr>
          <w:i/>
          <w:iCs/>
        </w:rPr>
      </w:pPr>
      <w:r>
        <w:rPr>
          <w:i/>
          <w:iCs/>
          <w:rtl/>
        </w:rPr>
        <w:t xml:space="preserve">شاه علم </w:t>
      </w:r>
      <w:proofErr w:type="spellStart"/>
      <w:r>
        <w:rPr>
          <w:i/>
          <w:iCs/>
          <w:rtl/>
        </w:rPr>
        <w:t>-</w:t>
      </w:r>
      <w:proofErr w:type="spellEnd"/>
      <w:r>
        <w:rPr>
          <w:i/>
          <w:iCs/>
          <w:rtl/>
        </w:rPr>
        <w:t xml:space="preserve"> ماليزيا</w:t>
      </w:r>
    </w:p>
    <w:p w:rsidR="005F5EA2" w:rsidRPr="00A263C1" w:rsidRDefault="00A263C1" w:rsidP="00A263C1">
      <w:pPr>
        <w:bidi w:val="0"/>
        <w:jc w:val="center"/>
        <w:rPr>
          <w:rFonts w:hint="cs"/>
          <w:i/>
          <w:iCs/>
          <w:rtl/>
          <w:lang w:bidi="ar-EG"/>
        </w:rPr>
      </w:pPr>
      <w:r>
        <w:rPr>
          <w:i/>
          <w:iCs/>
        </w:rPr>
        <w:t>waleed.eltantawy@mediu.edu.my</w:t>
      </w:r>
    </w:p>
    <w:p w:rsidR="007965F9" w:rsidRDefault="007965F9" w:rsidP="007965F9">
      <w:pPr>
        <w:pStyle w:val="a3"/>
        <w:jc w:val="right"/>
        <w:rPr>
          <w:b/>
          <w:bCs/>
          <w:sz w:val="18"/>
          <w:szCs w:val="18"/>
          <w:rtl/>
        </w:rPr>
        <w:sectPr w:rsidR="007965F9" w:rsidSect="00A263C1">
          <w:pgSz w:w="11906" w:h="16838"/>
          <w:pgMar w:top="709" w:right="1440" w:bottom="1440" w:left="1440" w:header="720" w:footer="720" w:gutter="0"/>
          <w:cols w:space="720"/>
          <w:bidi/>
          <w:rtlGutter/>
          <w:docGrid w:linePitch="360"/>
        </w:sectPr>
      </w:pPr>
      <w:r>
        <w:br/>
      </w:r>
    </w:p>
    <w:p w:rsidR="007965F9" w:rsidRPr="007965F9" w:rsidRDefault="007965F9" w:rsidP="007965F9">
      <w:pPr>
        <w:pStyle w:val="a3"/>
        <w:jc w:val="right"/>
        <w:rPr>
          <w:b/>
          <w:bCs/>
          <w:sz w:val="18"/>
          <w:szCs w:val="18"/>
          <w:rtl/>
        </w:rPr>
      </w:pPr>
      <w:r w:rsidRPr="007965F9">
        <w:rPr>
          <w:b/>
          <w:bCs/>
          <w:sz w:val="18"/>
          <w:szCs w:val="18"/>
          <w:rtl/>
        </w:rPr>
        <w:lastRenderedPageBreak/>
        <w:t xml:space="preserve">الخلاصة – هذا البحث يبحث فى </w:t>
      </w:r>
      <w:r>
        <w:rPr>
          <w:rFonts w:hint="cs"/>
          <w:b/>
          <w:bCs/>
          <w:sz w:val="18"/>
          <w:szCs w:val="18"/>
          <w:rtl/>
        </w:rPr>
        <w:t>تعارض قبيحين ، وتعارض المجمع عليه والمختلف فيه</w:t>
      </w:r>
      <w:r w:rsidRPr="007965F9">
        <w:rPr>
          <w:b/>
          <w:bCs/>
          <w:sz w:val="18"/>
          <w:szCs w:val="18"/>
        </w:rPr>
        <w:br/>
      </w:r>
      <w:r w:rsidRPr="007965F9">
        <w:rPr>
          <w:b/>
          <w:bCs/>
          <w:sz w:val="18"/>
          <w:szCs w:val="18"/>
          <w:rtl/>
        </w:rPr>
        <w:t xml:space="preserve">الكلمات المفتاحية – </w:t>
      </w:r>
      <w:r>
        <w:rPr>
          <w:rFonts w:hint="cs"/>
          <w:b/>
          <w:bCs/>
          <w:sz w:val="18"/>
          <w:szCs w:val="18"/>
          <w:rtl/>
        </w:rPr>
        <w:t xml:space="preserve">القبيحين </w:t>
      </w:r>
      <w:r w:rsidRPr="007965F9">
        <w:rPr>
          <w:b/>
          <w:bCs/>
          <w:sz w:val="18"/>
          <w:szCs w:val="18"/>
          <w:rtl/>
        </w:rPr>
        <w:t xml:space="preserve">، </w:t>
      </w:r>
      <w:r>
        <w:rPr>
          <w:rFonts w:hint="cs"/>
          <w:b/>
          <w:bCs/>
          <w:sz w:val="18"/>
          <w:szCs w:val="18"/>
          <w:rtl/>
        </w:rPr>
        <w:t>ارتكاب</w:t>
      </w:r>
      <w:r w:rsidRPr="007965F9">
        <w:rPr>
          <w:b/>
          <w:bCs/>
          <w:sz w:val="18"/>
          <w:szCs w:val="18"/>
          <w:rtl/>
        </w:rPr>
        <w:t xml:space="preserve"> ، </w:t>
      </w:r>
      <w:r>
        <w:rPr>
          <w:rFonts w:hint="cs"/>
          <w:b/>
          <w:bCs/>
          <w:sz w:val="18"/>
          <w:szCs w:val="18"/>
          <w:rtl/>
        </w:rPr>
        <w:t>حكم</w:t>
      </w:r>
    </w:p>
    <w:p w:rsidR="007965F9" w:rsidRPr="007965F9" w:rsidRDefault="007965F9" w:rsidP="007965F9">
      <w:pPr>
        <w:pStyle w:val="a3"/>
        <w:jc w:val="center"/>
        <w:rPr>
          <w:b/>
          <w:bCs/>
          <w:sz w:val="18"/>
          <w:szCs w:val="18"/>
          <w:lang w:bidi="ar-EG"/>
        </w:rPr>
      </w:pPr>
      <w:r w:rsidRPr="007965F9">
        <w:rPr>
          <w:b/>
          <w:bCs/>
          <w:sz w:val="18"/>
          <w:szCs w:val="18"/>
          <w:rtl/>
        </w:rPr>
        <w:t>المقدمة</w:t>
      </w:r>
      <w:r w:rsidRPr="007965F9">
        <w:rPr>
          <w:b/>
          <w:bCs/>
          <w:sz w:val="18"/>
          <w:szCs w:val="18"/>
          <w:lang w:bidi="ar-EG"/>
        </w:rPr>
        <w:t>.I</w:t>
      </w:r>
    </w:p>
    <w:p w:rsidR="007965F9" w:rsidRPr="007965F9" w:rsidRDefault="007965F9" w:rsidP="007965F9">
      <w:pPr>
        <w:pStyle w:val="a3"/>
        <w:jc w:val="right"/>
        <w:rPr>
          <w:b/>
          <w:bCs/>
          <w:sz w:val="18"/>
          <w:szCs w:val="18"/>
          <w:rtl/>
        </w:rPr>
      </w:pPr>
      <w:r w:rsidRPr="007965F9">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hint="cs"/>
          <w:b/>
          <w:bCs/>
          <w:sz w:val="18"/>
          <w:szCs w:val="18"/>
          <w:rtl/>
        </w:rPr>
        <w:t>تعارض قبيحين ، وتعارض المجمع عليه والمختلف فيه</w:t>
      </w:r>
    </w:p>
    <w:p w:rsidR="007965F9" w:rsidRPr="007965F9" w:rsidRDefault="007965F9" w:rsidP="005F5EA2">
      <w:pPr>
        <w:pStyle w:val="a3"/>
        <w:jc w:val="center"/>
        <w:rPr>
          <w:b/>
          <w:bCs/>
          <w:sz w:val="18"/>
          <w:szCs w:val="18"/>
        </w:rPr>
      </w:pPr>
      <w:r w:rsidRPr="007965F9">
        <w:rPr>
          <w:b/>
          <w:bCs/>
          <w:sz w:val="18"/>
          <w:szCs w:val="18"/>
        </w:rPr>
        <w:br/>
      </w:r>
      <w:r w:rsidRPr="007965F9">
        <w:rPr>
          <w:rFonts w:hint="cs"/>
          <w:b/>
          <w:bCs/>
          <w:sz w:val="18"/>
          <w:szCs w:val="18"/>
          <w:rtl/>
        </w:rPr>
        <w:t>.</w:t>
      </w:r>
      <w:r w:rsidR="005F5EA2">
        <w:rPr>
          <w:rFonts w:hint="cs"/>
          <w:b/>
          <w:bCs/>
          <w:sz w:val="18"/>
          <w:szCs w:val="18"/>
          <w:rtl/>
        </w:rPr>
        <w:t>موضوع</w:t>
      </w:r>
      <w:r w:rsidRPr="007965F9">
        <w:rPr>
          <w:b/>
          <w:bCs/>
          <w:sz w:val="18"/>
          <w:szCs w:val="18"/>
          <w:rtl/>
        </w:rPr>
        <w:t xml:space="preserve"> المقال</w:t>
      </w:r>
      <w:r w:rsidRPr="007965F9">
        <w:rPr>
          <w:b/>
          <w:bCs/>
          <w:sz w:val="18"/>
          <w:szCs w:val="18"/>
        </w:rPr>
        <w:t xml:space="preserve"> II</w:t>
      </w:r>
    </w:p>
    <w:p w:rsidR="007965F9" w:rsidRPr="007965F9" w:rsidRDefault="007965F9" w:rsidP="007965F9">
      <w:pPr>
        <w:pStyle w:val="a3"/>
        <w:bidi/>
        <w:jc w:val="lowKashida"/>
        <w:rPr>
          <w:rFonts w:ascii="Lotus Linotype" w:hAnsi="Lotus Linotype" w:cs="AL-Hotham"/>
          <w:b/>
          <w:bCs/>
          <w:sz w:val="18"/>
          <w:szCs w:val="18"/>
        </w:rPr>
      </w:pPr>
      <w:r w:rsidRPr="007965F9">
        <w:rPr>
          <w:rFonts w:ascii="Lotus Linotype" w:hAnsi="Lotus Linotype" w:cs="AL-Hotham" w:hint="cs"/>
          <w:b/>
          <w:bCs/>
          <w:sz w:val="18"/>
          <w:szCs w:val="18"/>
          <w:rtl/>
        </w:rPr>
        <w:t xml:space="preserve">أولًا: </w:t>
      </w:r>
      <w:r w:rsidRPr="007965F9">
        <w:rPr>
          <w:rFonts w:ascii="Lotus Linotype" w:hAnsi="Lotus Linotype" w:cs="AL-Hotham"/>
          <w:b/>
          <w:bCs/>
          <w:sz w:val="18"/>
          <w:szCs w:val="18"/>
          <w:rtl/>
        </w:rPr>
        <w:t xml:space="preserve">تعارض قبيحين: </w:t>
      </w:r>
    </w:p>
    <w:p w:rsidR="007965F9" w:rsidRPr="007965F9" w:rsidRDefault="007965F9" w:rsidP="007965F9">
      <w:pPr>
        <w:pStyle w:val="a3"/>
        <w:bidi/>
        <w:spacing w:before="0" w:beforeAutospacing="0" w:after="120" w:afterAutospacing="0"/>
        <w:jc w:val="lowKashida"/>
        <w:rPr>
          <w:rFonts w:ascii="Lotus Linotype" w:hAnsi="Lotus Linotype" w:cs="AL-Hotham"/>
          <w:b/>
          <w:bCs/>
          <w:sz w:val="18"/>
          <w:szCs w:val="18"/>
        </w:rPr>
      </w:pPr>
      <w:r w:rsidRPr="007965F9">
        <w:rPr>
          <w:rFonts w:ascii="Lotus Linotype" w:hAnsi="Lotus Linotype" w:cs="AL-Hotham"/>
          <w:b/>
          <w:bCs/>
          <w:sz w:val="18"/>
          <w:szCs w:val="18"/>
          <w:rtl/>
        </w:rPr>
        <w:t xml:space="preserve">لقد عوَّل السيوطي في هذه المسألة على ما ذكره ابن جني في (الخصائص)؛ إذ إنه قد أفرد بابًا عنوانه: باب في الحمل على أحسن القبيحين، ومراده بذلك: أنه إذا حضرت عندك ضرورتان </w:t>
      </w:r>
      <w:r w:rsidRPr="007965F9">
        <w:rPr>
          <w:rFonts w:ascii="Lotus Linotype" w:hAnsi="Lotus Linotype" w:cs="Traditional Arabic"/>
          <w:b/>
          <w:bCs/>
          <w:sz w:val="18"/>
          <w:szCs w:val="18"/>
          <w:rtl/>
        </w:rPr>
        <w:t>-</w:t>
      </w:r>
      <w:r w:rsidRPr="007965F9">
        <w:rPr>
          <w:rFonts w:ascii="Lotus Linotype" w:hAnsi="Lotus Linotype" w:cs="AL-Hotham"/>
          <w:b/>
          <w:bCs/>
          <w:sz w:val="18"/>
          <w:szCs w:val="18"/>
          <w:rtl/>
        </w:rPr>
        <w:t>أي: أمران قبيحان</w:t>
      </w:r>
      <w:r w:rsidRPr="007965F9">
        <w:rPr>
          <w:rFonts w:ascii="Lotus Linotype" w:hAnsi="Lotus Linotype" w:cs="Traditional Arabic"/>
          <w:b/>
          <w:bCs/>
          <w:sz w:val="18"/>
          <w:szCs w:val="18"/>
          <w:rtl/>
        </w:rPr>
        <w:t>-</w:t>
      </w:r>
      <w:r w:rsidRPr="007965F9">
        <w:rPr>
          <w:rFonts w:ascii="Lotus Linotype" w:hAnsi="Lotus Linotype" w:cs="AL-Hotham"/>
          <w:b/>
          <w:bCs/>
          <w:sz w:val="18"/>
          <w:szCs w:val="18"/>
          <w:rtl/>
        </w:rPr>
        <w:t xml:space="preserve"> وكان أحدهما أشد قبحًا من الآخر ولا بد للمتكلم من ارتكاب أحد القبيحين؛ فينبغي حينئذ ارتكاب أقربهما وأقلهما فحشًا.</w:t>
      </w:r>
    </w:p>
    <w:p w:rsidR="007965F9" w:rsidRPr="007965F9" w:rsidRDefault="007965F9" w:rsidP="007965F9">
      <w:pPr>
        <w:pStyle w:val="a3"/>
        <w:bidi/>
        <w:spacing w:before="0" w:beforeAutospacing="0" w:after="120" w:afterAutospacing="0"/>
        <w:jc w:val="lowKashida"/>
        <w:rPr>
          <w:rFonts w:ascii="Lotus Linotype" w:hAnsi="Lotus Linotype" w:cs="AL-Hotham"/>
          <w:b/>
          <w:bCs/>
          <w:sz w:val="18"/>
          <w:szCs w:val="18"/>
        </w:rPr>
      </w:pPr>
      <w:r w:rsidRPr="007965F9">
        <w:rPr>
          <w:rFonts w:ascii="Lotus Linotype" w:hAnsi="Lotus Linotype" w:cs="AL-Hotham"/>
          <w:b/>
          <w:bCs/>
          <w:sz w:val="18"/>
          <w:szCs w:val="18"/>
          <w:rtl/>
        </w:rPr>
        <w:t>وقد ذكر السيوطي نقلًا عن ابن جني مثالين فيهما ارتكاب أقل القبيحين فحشًا، وهما:</w:t>
      </w:r>
    </w:p>
    <w:p w:rsidR="007965F9" w:rsidRPr="007965F9" w:rsidRDefault="007965F9" w:rsidP="007965F9">
      <w:pPr>
        <w:pStyle w:val="a3"/>
        <w:bidi/>
        <w:spacing w:before="0" w:beforeAutospacing="0" w:after="120" w:afterAutospacing="0"/>
        <w:jc w:val="lowKashida"/>
        <w:rPr>
          <w:rFonts w:ascii="Lotus Linotype" w:hAnsi="Lotus Linotype" w:cs="AL-Hotham"/>
          <w:b/>
          <w:bCs/>
          <w:sz w:val="18"/>
          <w:szCs w:val="18"/>
        </w:rPr>
      </w:pPr>
      <w:r w:rsidRPr="007965F9">
        <w:rPr>
          <w:rFonts w:ascii="Lotus Linotype" w:hAnsi="Lotus Linotype" w:cs="AL-Hotham"/>
          <w:b/>
          <w:bCs/>
          <w:sz w:val="18"/>
          <w:szCs w:val="18"/>
          <w:rtl/>
        </w:rPr>
        <w:t xml:space="preserve">المثال الأول: حكم الواو في "ورَنْتَل"، والورنتل: هو الشر والأمر العظيم؛ فإن الأمر في هذه الواو بين ضرورتين أن يدعي أنها أصلية وأن يدعي أنها زائدة، وهما أمران قبيحان؛ لأن الواو لا تكون أصلية في ذوات الأربعة إلا مكررة، نحو قولهم: الوصوصة والوحوحة؛ كما أنها لا تكون زائدة في أول الكلام، ولا بد من ارتكاب أحد القبيحين؛ فلما كان الأمر كذلك كان القول بجعلها أصلًا أولى من القول بجعلها زائدة؛ لأن الواو قد تكون أصلًا في ذوات الأربعة على وجه من الوجوه، أي: في حال التضعيف؛ أما أن تزاد أولًا فإن هذا أمر لم يوجد </w:t>
      </w:r>
      <w:r w:rsidRPr="007965F9">
        <w:rPr>
          <w:rFonts w:ascii="Lotus Linotype" w:hAnsi="Lotus Linotype" w:cs="Traditional Arabic"/>
          <w:b/>
          <w:bCs/>
          <w:sz w:val="18"/>
          <w:szCs w:val="18"/>
          <w:rtl/>
        </w:rPr>
        <w:t>-</w:t>
      </w:r>
      <w:r w:rsidRPr="007965F9">
        <w:rPr>
          <w:rFonts w:ascii="Lotus Linotype" w:hAnsi="Lotus Linotype" w:cs="AL-Hotham"/>
          <w:b/>
          <w:bCs/>
          <w:sz w:val="18"/>
          <w:szCs w:val="18"/>
          <w:rtl/>
        </w:rPr>
        <w:t>على أي حال</w:t>
      </w:r>
      <w:r w:rsidRPr="007965F9">
        <w:rPr>
          <w:rFonts w:ascii="Lotus Linotype" w:hAnsi="Lotus Linotype" w:cs="Traditional Arabic"/>
          <w:b/>
          <w:bCs/>
          <w:sz w:val="18"/>
          <w:szCs w:val="18"/>
          <w:rtl/>
        </w:rPr>
        <w:t>-</w:t>
      </w:r>
      <w:r w:rsidRPr="007965F9">
        <w:rPr>
          <w:rFonts w:ascii="Lotus Linotype" w:hAnsi="Lotus Linotype" w:cs="AL-Hotham"/>
          <w:b/>
          <w:bCs/>
          <w:sz w:val="18"/>
          <w:szCs w:val="18"/>
          <w:rtl/>
        </w:rPr>
        <w:t xml:space="preserve"> فكان ارتكاب ما هو موجود خيرًا من ارتكاب ما ليس بموجود.</w:t>
      </w:r>
    </w:p>
    <w:p w:rsidR="007965F9" w:rsidRPr="007965F9" w:rsidRDefault="007965F9" w:rsidP="007965F9">
      <w:pPr>
        <w:pStyle w:val="a3"/>
        <w:bidi/>
        <w:spacing w:before="0" w:beforeAutospacing="0" w:after="120" w:afterAutospacing="0"/>
        <w:jc w:val="lowKashida"/>
        <w:rPr>
          <w:rFonts w:ascii="Lotus Linotype" w:hAnsi="Lotus Linotype" w:cs="AL-Hotham"/>
          <w:b/>
          <w:bCs/>
          <w:sz w:val="18"/>
          <w:szCs w:val="18"/>
          <w:rtl/>
        </w:rPr>
      </w:pPr>
      <w:r w:rsidRPr="007965F9">
        <w:rPr>
          <w:rFonts w:ascii="Lotus Linotype" w:hAnsi="Lotus Linotype" w:cs="AL-Hotham"/>
          <w:b/>
          <w:bCs/>
          <w:sz w:val="18"/>
          <w:szCs w:val="18"/>
          <w:rtl/>
        </w:rPr>
        <w:t>المثال الثاني</w:t>
      </w:r>
      <w:r w:rsidRPr="007965F9">
        <w:rPr>
          <w:rFonts w:ascii="Lotus Linotype" w:hAnsi="Lotus Linotype" w:cs="AL-Hotham" w:hint="cs"/>
          <w:b/>
          <w:bCs/>
          <w:sz w:val="18"/>
          <w:szCs w:val="18"/>
          <w:rtl/>
        </w:rPr>
        <w:t>:</w:t>
      </w:r>
      <w:r w:rsidRPr="007965F9">
        <w:rPr>
          <w:rFonts w:ascii="Lotus Linotype" w:hAnsi="Lotus Linotype" w:cs="AL-Hotham"/>
          <w:b/>
          <w:bCs/>
          <w:sz w:val="18"/>
          <w:szCs w:val="18"/>
          <w:rtl/>
        </w:rPr>
        <w:t xml:space="preserve"> نحو: فيها قائمًا رجلٌ، وفيها قائم رجل؛ فللمتكلم أن يرتكب أحد القبيحين؛ وهما: أن ينصب الوصف المشتق؛ فيجعل "قائمًا" حالًا من النكرة، وأن يرفعه؛ فيجعل اسم الفاعل نعتًا متقدمًا على منعوته؛ فلما كان مخيرًا بين هذين الأمرين كان القول بجعله حالًا من النكرة أولى؛ لأنه وارد على ضعف وأكثره في الشعر؛ كقول كثير:</w:t>
      </w:r>
    </w:p>
    <w:tbl>
      <w:tblPr>
        <w:bidiVisual/>
        <w:tblW w:w="0" w:type="auto"/>
        <w:jc w:val="center"/>
        <w:tblLook w:val="01E0"/>
      </w:tblPr>
      <w:tblGrid>
        <w:gridCol w:w="1949"/>
        <w:gridCol w:w="538"/>
        <w:gridCol w:w="1882"/>
      </w:tblGrid>
      <w:tr w:rsidR="007965F9" w:rsidRPr="007965F9" w:rsidTr="005F386D">
        <w:trPr>
          <w:trHeight w:hRule="exact" w:val="510"/>
          <w:jc w:val="center"/>
        </w:trPr>
        <w:tc>
          <w:tcPr>
            <w:tcW w:w="2909" w:type="dxa"/>
            <w:vAlign w:val="center"/>
          </w:tcPr>
          <w:p w:rsidR="007965F9" w:rsidRPr="007965F9" w:rsidRDefault="007965F9" w:rsidP="007965F9">
            <w:pPr>
              <w:spacing w:after="120" w:line="240" w:lineRule="auto"/>
              <w:jc w:val="both"/>
              <w:rPr>
                <w:rFonts w:ascii="Lotus Linotype" w:hAnsi="Lotus Linotype" w:cs="AGA Furat Regular"/>
                <w:b/>
                <w:bCs/>
                <w:sz w:val="18"/>
                <w:szCs w:val="18"/>
                <w:rtl/>
              </w:rPr>
            </w:pPr>
            <w:r w:rsidRPr="007965F9">
              <w:rPr>
                <w:rFonts w:ascii="Arial" w:eastAsia="Calibri" w:hAnsi="Arial" w:cs="AGA Furat Regular"/>
                <w:b/>
                <w:bCs/>
                <w:sz w:val="18"/>
                <w:szCs w:val="18"/>
                <w:rtl/>
                <w:lang w:eastAsia="en-MY"/>
              </w:rPr>
              <w:t>لمية موحشة طلل</w:t>
            </w:r>
            <w:r w:rsidRPr="007965F9">
              <w:rPr>
                <w:rFonts w:ascii="Arial" w:eastAsia="Calibri" w:hAnsi="Arial" w:cs="AGA Furat Regular"/>
                <w:b/>
                <w:bCs/>
                <w:sz w:val="18"/>
                <w:szCs w:val="18"/>
                <w:rtl/>
                <w:lang w:eastAsia="en-MY"/>
              </w:rPr>
              <w:br/>
            </w:r>
          </w:p>
        </w:tc>
        <w:tc>
          <w:tcPr>
            <w:tcW w:w="709" w:type="dxa"/>
            <w:vAlign w:val="center"/>
          </w:tcPr>
          <w:p w:rsidR="007965F9" w:rsidRPr="007965F9" w:rsidRDefault="007965F9" w:rsidP="007965F9">
            <w:pPr>
              <w:spacing w:after="120" w:line="240" w:lineRule="auto"/>
              <w:jc w:val="center"/>
              <w:rPr>
                <w:rFonts w:cs="AL-Hotham"/>
                <w:b/>
                <w:bCs/>
                <w:sz w:val="18"/>
                <w:szCs w:val="18"/>
                <w:rtl/>
              </w:rPr>
            </w:pPr>
            <w:r w:rsidRPr="007965F9">
              <w:rPr>
                <w:rFonts w:cs="AL-Hotham" w:hint="cs"/>
                <w:b/>
                <w:bCs/>
                <w:sz w:val="18"/>
                <w:szCs w:val="18"/>
                <w:rtl/>
              </w:rPr>
              <w:t>*</w:t>
            </w:r>
          </w:p>
        </w:tc>
        <w:tc>
          <w:tcPr>
            <w:tcW w:w="2909" w:type="dxa"/>
            <w:vAlign w:val="center"/>
          </w:tcPr>
          <w:p w:rsidR="007965F9" w:rsidRPr="007965F9" w:rsidRDefault="007965F9" w:rsidP="007965F9">
            <w:pPr>
              <w:spacing w:after="120" w:line="240" w:lineRule="auto"/>
              <w:jc w:val="both"/>
              <w:rPr>
                <w:rFonts w:ascii="Arial" w:eastAsia="Calibri" w:hAnsi="Arial" w:cs="AGA Furat Regular"/>
                <w:b/>
                <w:bCs/>
                <w:sz w:val="18"/>
                <w:szCs w:val="18"/>
                <w:lang w:eastAsia="en-MY"/>
              </w:rPr>
            </w:pPr>
            <w:r w:rsidRPr="007965F9">
              <w:rPr>
                <w:rFonts w:ascii="Arial" w:eastAsia="Calibri" w:hAnsi="Arial" w:cs="AGA Furat Regular"/>
                <w:b/>
                <w:bCs/>
                <w:sz w:val="18"/>
                <w:szCs w:val="18"/>
                <w:rtl/>
                <w:lang w:eastAsia="en-MY"/>
              </w:rPr>
              <w:t>يلوح كأنه خلل</w:t>
            </w:r>
            <w:r w:rsidRPr="007965F9">
              <w:rPr>
                <w:rFonts w:ascii="Arial" w:eastAsia="Calibri" w:hAnsi="Arial" w:cs="AGA Furat Regular" w:hint="cs"/>
                <w:b/>
                <w:bCs/>
                <w:sz w:val="18"/>
                <w:szCs w:val="18"/>
                <w:rtl/>
                <w:lang w:eastAsia="en-MY"/>
              </w:rPr>
              <w:br/>
            </w:r>
          </w:p>
        </w:tc>
      </w:tr>
    </w:tbl>
    <w:p w:rsidR="007965F9" w:rsidRPr="007965F9" w:rsidRDefault="007965F9" w:rsidP="007965F9">
      <w:pPr>
        <w:pStyle w:val="a3"/>
        <w:bidi/>
        <w:spacing w:before="0" w:beforeAutospacing="0" w:after="120" w:afterAutospacing="0"/>
        <w:jc w:val="lowKashida"/>
        <w:rPr>
          <w:rFonts w:ascii="Lotus Linotype" w:hAnsi="Lotus Linotype" w:cs="AL-Hotham"/>
          <w:b/>
          <w:bCs/>
          <w:sz w:val="18"/>
          <w:szCs w:val="18"/>
        </w:rPr>
      </w:pPr>
      <w:r w:rsidRPr="007965F9">
        <w:rPr>
          <w:rFonts w:ascii="Lotus Linotype" w:hAnsi="Lotus Linotype" w:cs="AL-Hotham"/>
          <w:b/>
          <w:bCs/>
          <w:sz w:val="18"/>
          <w:szCs w:val="18"/>
          <w:rtl/>
        </w:rPr>
        <w:t xml:space="preserve">وأما تقديم النعت على المنعوت فلم يرد. </w:t>
      </w:r>
    </w:p>
    <w:p w:rsidR="007965F9" w:rsidRPr="007965F9" w:rsidRDefault="007965F9" w:rsidP="007965F9">
      <w:pPr>
        <w:pStyle w:val="a3"/>
        <w:bidi/>
        <w:spacing w:before="0" w:beforeAutospacing="0" w:after="120" w:afterAutospacing="0"/>
        <w:jc w:val="lowKashida"/>
        <w:rPr>
          <w:rFonts w:ascii="Lotus Linotype" w:hAnsi="Lotus Linotype" w:cs="AL-Hotham"/>
          <w:b/>
          <w:bCs/>
          <w:sz w:val="18"/>
          <w:szCs w:val="18"/>
        </w:rPr>
      </w:pPr>
      <w:r w:rsidRPr="007965F9">
        <w:rPr>
          <w:rFonts w:ascii="Lotus Linotype" w:hAnsi="Lotus Linotype" w:cs="AL-Hotham" w:hint="cs"/>
          <w:b/>
          <w:bCs/>
          <w:sz w:val="18"/>
          <w:szCs w:val="18"/>
          <w:rtl/>
        </w:rPr>
        <w:t xml:space="preserve">ثانيًا: </w:t>
      </w:r>
      <w:r w:rsidRPr="007965F9">
        <w:rPr>
          <w:rFonts w:ascii="Lotus Linotype" w:hAnsi="Lotus Linotype" w:cs="AL-Hotham"/>
          <w:b/>
          <w:bCs/>
          <w:sz w:val="18"/>
          <w:szCs w:val="18"/>
          <w:rtl/>
        </w:rPr>
        <w:t>تعارض المجمع عليه والمختلف فيه:</w:t>
      </w:r>
    </w:p>
    <w:p w:rsidR="007965F9" w:rsidRPr="007965F9" w:rsidRDefault="007965F9" w:rsidP="007965F9">
      <w:pPr>
        <w:pStyle w:val="a3"/>
        <w:bidi/>
        <w:spacing w:before="0" w:beforeAutospacing="0" w:after="120" w:afterAutospacing="0"/>
        <w:jc w:val="lowKashida"/>
        <w:rPr>
          <w:rFonts w:ascii="Lotus Linotype" w:hAnsi="Lotus Linotype" w:cs="AL-Hotham"/>
          <w:b/>
          <w:bCs/>
          <w:sz w:val="18"/>
          <w:szCs w:val="18"/>
          <w:rtl/>
        </w:rPr>
      </w:pPr>
      <w:r w:rsidRPr="007965F9">
        <w:rPr>
          <w:rFonts w:ascii="Lotus Linotype" w:hAnsi="Lotus Linotype" w:cs="AL-Hotham"/>
          <w:b/>
          <w:bCs/>
          <w:sz w:val="18"/>
          <w:szCs w:val="18"/>
          <w:rtl/>
        </w:rPr>
        <w:lastRenderedPageBreak/>
        <w:t xml:space="preserve">إذا تعارض أمر أجمع عليه النحويون من البصريين والكوفيين وأمر آخر اختلفوا فيه؛ فإن الرأي المجمع عليه أولى من الرأي المختلف فيه؛ لأن للإجماع مكانته عند علماء العربية، وقد عده ابن جني من أصول النحو الغالبة؛ كما ذكر الشاطبي </w:t>
      </w:r>
      <w:r w:rsidRPr="007965F9">
        <w:rPr>
          <w:rFonts w:ascii="Lotus Linotype" w:hAnsi="Lotus Linotype" w:cs="Traditional Arabic"/>
          <w:b/>
          <w:bCs/>
          <w:sz w:val="18"/>
          <w:szCs w:val="18"/>
          <w:rtl/>
        </w:rPr>
        <w:t>-</w:t>
      </w:r>
      <w:r w:rsidRPr="007965F9">
        <w:rPr>
          <w:rFonts w:ascii="Lotus Linotype" w:hAnsi="Lotus Linotype" w:cs="AL-Hotham"/>
          <w:b/>
          <w:bCs/>
          <w:sz w:val="18"/>
          <w:szCs w:val="18"/>
          <w:rtl/>
        </w:rPr>
        <w:t>رحمه الله</w:t>
      </w:r>
      <w:r w:rsidRPr="007965F9">
        <w:rPr>
          <w:rFonts w:ascii="Lotus Linotype" w:hAnsi="Lotus Linotype" w:cs="Traditional Arabic"/>
          <w:b/>
          <w:bCs/>
          <w:sz w:val="18"/>
          <w:szCs w:val="18"/>
          <w:rtl/>
        </w:rPr>
        <w:t>-</w:t>
      </w:r>
      <w:r w:rsidRPr="007965F9">
        <w:rPr>
          <w:rFonts w:ascii="Lotus Linotype" w:hAnsi="Lotus Linotype" w:cs="AL-Hotham"/>
          <w:b/>
          <w:bCs/>
          <w:sz w:val="18"/>
          <w:szCs w:val="18"/>
          <w:rtl/>
        </w:rPr>
        <w:t xml:space="preserve"> أن إجماع النحويين كإجماع الفقهاء وإجماع المحدثين، وكل علم اجتمع أربابه على مسألة منه؛ فإجماعهم حجة ومخالفهم مخطئ، وإذا كان الأمر كذلك؛ فإن الرأي المجمع عليه أولى من الرأي المختلف فيه؛ ولذلك قال السيوطي: إذا تعارض مجمع عليه ومختلف فيه؛ فالأول أولى، وذكر مثالًا لذلك: وهو أنه إذا كان الشاعر مضطرًّا إلى قصر الممدود أو مد المقصور؛ فارتكاب الأول أولى؛ لأن البصريين والكوفيين جميعًا قد أجمعوا على جواز قصر الممدود في الشعر، ومنه قول الشاعر:</w:t>
      </w:r>
    </w:p>
    <w:tbl>
      <w:tblPr>
        <w:bidiVisual/>
        <w:tblW w:w="0" w:type="auto"/>
        <w:jc w:val="center"/>
        <w:tblLook w:val="01E0"/>
      </w:tblPr>
      <w:tblGrid>
        <w:gridCol w:w="1936"/>
        <w:gridCol w:w="545"/>
        <w:gridCol w:w="1888"/>
      </w:tblGrid>
      <w:tr w:rsidR="007965F9" w:rsidRPr="007965F9" w:rsidTr="005F386D">
        <w:trPr>
          <w:trHeight w:hRule="exact" w:val="510"/>
          <w:jc w:val="center"/>
        </w:trPr>
        <w:tc>
          <w:tcPr>
            <w:tcW w:w="2909" w:type="dxa"/>
            <w:vAlign w:val="center"/>
          </w:tcPr>
          <w:p w:rsidR="007965F9" w:rsidRPr="007965F9" w:rsidRDefault="007965F9" w:rsidP="007965F9">
            <w:pPr>
              <w:spacing w:after="120" w:line="240" w:lineRule="auto"/>
              <w:jc w:val="both"/>
              <w:rPr>
                <w:rFonts w:ascii="Arial" w:eastAsia="Calibri" w:hAnsi="Arial" w:cs="AGA Furat Regular"/>
                <w:b/>
                <w:bCs/>
                <w:sz w:val="18"/>
                <w:szCs w:val="18"/>
                <w:rtl/>
                <w:lang w:eastAsia="en-MY"/>
              </w:rPr>
            </w:pPr>
            <w:r w:rsidRPr="007965F9">
              <w:rPr>
                <w:rFonts w:ascii="Arial" w:eastAsia="Calibri" w:hAnsi="Arial" w:cs="AGA Furat Regular"/>
                <w:b/>
                <w:bCs/>
                <w:sz w:val="18"/>
                <w:szCs w:val="18"/>
                <w:rtl/>
                <w:lang w:eastAsia="en-MY"/>
              </w:rPr>
              <w:t>لا بد من صنعا وإن طال</w:t>
            </w:r>
            <w:r w:rsidRPr="007965F9">
              <w:rPr>
                <w:rFonts w:ascii="Arial" w:eastAsia="Calibri" w:hAnsi="Arial" w:cs="AGA Furat Regular" w:hint="cs"/>
                <w:b/>
                <w:bCs/>
                <w:sz w:val="18"/>
                <w:szCs w:val="18"/>
                <w:rtl/>
                <w:lang w:eastAsia="en-MY"/>
              </w:rPr>
              <w:br/>
            </w:r>
          </w:p>
        </w:tc>
        <w:tc>
          <w:tcPr>
            <w:tcW w:w="709" w:type="dxa"/>
            <w:vAlign w:val="center"/>
          </w:tcPr>
          <w:p w:rsidR="007965F9" w:rsidRPr="007965F9" w:rsidRDefault="007965F9" w:rsidP="007965F9">
            <w:pPr>
              <w:spacing w:after="120" w:line="240" w:lineRule="auto"/>
              <w:jc w:val="center"/>
              <w:rPr>
                <w:rFonts w:cs="AL-Hotham"/>
                <w:b/>
                <w:bCs/>
                <w:sz w:val="18"/>
                <w:szCs w:val="18"/>
                <w:rtl/>
              </w:rPr>
            </w:pPr>
            <w:r w:rsidRPr="007965F9">
              <w:rPr>
                <w:rFonts w:cs="AL-Hotham" w:hint="cs"/>
                <w:b/>
                <w:bCs/>
                <w:sz w:val="18"/>
                <w:szCs w:val="18"/>
                <w:rtl/>
              </w:rPr>
              <w:t>*</w:t>
            </w:r>
          </w:p>
        </w:tc>
        <w:tc>
          <w:tcPr>
            <w:tcW w:w="2909" w:type="dxa"/>
            <w:vAlign w:val="center"/>
          </w:tcPr>
          <w:p w:rsidR="007965F9" w:rsidRPr="007965F9" w:rsidRDefault="007965F9" w:rsidP="007965F9">
            <w:pPr>
              <w:spacing w:after="120" w:line="240" w:lineRule="auto"/>
              <w:jc w:val="both"/>
              <w:rPr>
                <w:rFonts w:ascii="Arial" w:eastAsia="Calibri" w:hAnsi="Arial" w:cs="AGA Furat Regular"/>
                <w:b/>
                <w:bCs/>
                <w:sz w:val="18"/>
                <w:szCs w:val="18"/>
                <w:lang w:eastAsia="en-MY"/>
              </w:rPr>
            </w:pPr>
            <w:r w:rsidRPr="007965F9">
              <w:rPr>
                <w:rFonts w:ascii="Arial" w:eastAsia="Calibri" w:hAnsi="Arial" w:cs="AGA Furat Regular" w:hint="cs"/>
                <w:b/>
                <w:bCs/>
                <w:sz w:val="18"/>
                <w:szCs w:val="18"/>
                <w:rtl/>
                <w:lang w:eastAsia="en-MY"/>
              </w:rPr>
              <w:t>.... .... .... .... ....</w:t>
            </w:r>
            <w:r w:rsidRPr="007965F9">
              <w:rPr>
                <w:rFonts w:ascii="Arial" w:eastAsia="Calibri" w:hAnsi="Arial" w:cs="AGA Furat Regular" w:hint="cs"/>
                <w:b/>
                <w:bCs/>
                <w:sz w:val="18"/>
                <w:szCs w:val="18"/>
                <w:rtl/>
                <w:lang w:eastAsia="en-MY"/>
              </w:rPr>
              <w:br/>
            </w:r>
          </w:p>
        </w:tc>
      </w:tr>
    </w:tbl>
    <w:p w:rsidR="007965F9" w:rsidRPr="007965F9" w:rsidRDefault="007965F9" w:rsidP="007965F9">
      <w:pPr>
        <w:pStyle w:val="a3"/>
        <w:bidi/>
        <w:spacing w:before="0" w:beforeAutospacing="0" w:after="120" w:afterAutospacing="0"/>
        <w:jc w:val="lowKashida"/>
        <w:rPr>
          <w:rFonts w:ascii="Lotus Linotype" w:hAnsi="Lotus Linotype" w:cs="AL-Hotham"/>
          <w:b/>
          <w:bCs/>
          <w:sz w:val="18"/>
          <w:szCs w:val="18"/>
        </w:rPr>
      </w:pPr>
      <w:r w:rsidRPr="007965F9">
        <w:rPr>
          <w:rFonts w:ascii="Lotus Linotype" w:hAnsi="Lotus Linotype" w:cs="AL-Hotham"/>
          <w:b/>
          <w:bCs/>
          <w:sz w:val="18"/>
          <w:szCs w:val="18"/>
          <w:rtl/>
        </w:rPr>
        <w:t>والأصل: صنعاء.</w:t>
      </w:r>
    </w:p>
    <w:p w:rsidR="007965F9" w:rsidRPr="007965F9" w:rsidRDefault="007965F9" w:rsidP="007965F9">
      <w:pPr>
        <w:pStyle w:val="a3"/>
        <w:bidi/>
        <w:spacing w:before="0" w:beforeAutospacing="0" w:after="120" w:afterAutospacing="0"/>
        <w:jc w:val="lowKashida"/>
        <w:rPr>
          <w:rFonts w:ascii="Lotus Linotype" w:hAnsi="Lotus Linotype" w:cs="AL-Hotham"/>
          <w:b/>
          <w:bCs/>
          <w:sz w:val="18"/>
          <w:szCs w:val="18"/>
          <w:rtl/>
        </w:rPr>
      </w:pPr>
      <w:r w:rsidRPr="007965F9">
        <w:rPr>
          <w:rFonts w:ascii="Lotus Linotype" w:hAnsi="Lotus Linotype" w:cs="AL-Hotham"/>
          <w:b/>
          <w:bCs/>
          <w:sz w:val="18"/>
          <w:szCs w:val="18"/>
          <w:rtl/>
        </w:rPr>
        <w:t>أما مد المقصور للضرورة؛ فموضع خلاف بين النحويين؛ إذ أجازه الكوفيين متمسكين بقول الشاعر:</w:t>
      </w:r>
    </w:p>
    <w:tbl>
      <w:tblPr>
        <w:bidiVisual/>
        <w:tblW w:w="0" w:type="auto"/>
        <w:jc w:val="center"/>
        <w:tblLook w:val="01E0"/>
      </w:tblPr>
      <w:tblGrid>
        <w:gridCol w:w="1959"/>
        <w:gridCol w:w="537"/>
        <w:gridCol w:w="1873"/>
      </w:tblGrid>
      <w:tr w:rsidR="007965F9" w:rsidRPr="007965F9" w:rsidTr="005F386D">
        <w:trPr>
          <w:trHeight w:hRule="exact" w:val="510"/>
          <w:jc w:val="center"/>
        </w:trPr>
        <w:tc>
          <w:tcPr>
            <w:tcW w:w="2909" w:type="dxa"/>
            <w:vAlign w:val="center"/>
          </w:tcPr>
          <w:p w:rsidR="007965F9" w:rsidRPr="007965F9" w:rsidRDefault="007965F9" w:rsidP="007965F9">
            <w:pPr>
              <w:spacing w:after="120" w:line="240" w:lineRule="auto"/>
              <w:jc w:val="both"/>
              <w:rPr>
                <w:rFonts w:ascii="Lotus Linotype" w:hAnsi="Lotus Linotype" w:cs="AGA Furat Regular"/>
                <w:b/>
                <w:bCs/>
                <w:sz w:val="18"/>
                <w:szCs w:val="18"/>
                <w:rtl/>
              </w:rPr>
            </w:pPr>
            <w:r w:rsidRPr="007965F9">
              <w:rPr>
                <w:rFonts w:ascii="Arial" w:eastAsia="Calibri" w:hAnsi="Arial" w:cs="AGA Furat Regular"/>
                <w:b/>
                <w:bCs/>
                <w:sz w:val="18"/>
                <w:szCs w:val="18"/>
                <w:rtl/>
                <w:lang w:eastAsia="en-MY"/>
              </w:rPr>
              <w:t>سيغنيني الذي أغناك عني</w:t>
            </w:r>
            <w:r w:rsidRPr="007965F9">
              <w:rPr>
                <w:rFonts w:ascii="Arial" w:eastAsia="Calibri" w:hAnsi="Arial" w:cs="AGA Furat Regular"/>
                <w:b/>
                <w:bCs/>
                <w:sz w:val="18"/>
                <w:szCs w:val="18"/>
                <w:rtl/>
                <w:lang w:eastAsia="en-MY"/>
              </w:rPr>
              <w:br/>
            </w:r>
          </w:p>
        </w:tc>
        <w:tc>
          <w:tcPr>
            <w:tcW w:w="709" w:type="dxa"/>
            <w:vAlign w:val="center"/>
          </w:tcPr>
          <w:p w:rsidR="007965F9" w:rsidRPr="007965F9" w:rsidRDefault="007965F9" w:rsidP="007965F9">
            <w:pPr>
              <w:spacing w:after="120" w:line="240" w:lineRule="auto"/>
              <w:jc w:val="center"/>
              <w:rPr>
                <w:rFonts w:cs="AL-Hotham"/>
                <w:b/>
                <w:bCs/>
                <w:sz w:val="18"/>
                <w:szCs w:val="18"/>
                <w:rtl/>
              </w:rPr>
            </w:pPr>
            <w:r w:rsidRPr="007965F9">
              <w:rPr>
                <w:rFonts w:cs="AL-Hotham" w:hint="cs"/>
                <w:b/>
                <w:bCs/>
                <w:sz w:val="18"/>
                <w:szCs w:val="18"/>
                <w:rtl/>
              </w:rPr>
              <w:t>*</w:t>
            </w:r>
          </w:p>
        </w:tc>
        <w:tc>
          <w:tcPr>
            <w:tcW w:w="2909" w:type="dxa"/>
            <w:vAlign w:val="center"/>
          </w:tcPr>
          <w:p w:rsidR="007965F9" w:rsidRPr="007965F9" w:rsidRDefault="007965F9" w:rsidP="007965F9">
            <w:pPr>
              <w:spacing w:after="120" w:line="240" w:lineRule="auto"/>
              <w:jc w:val="both"/>
              <w:rPr>
                <w:rFonts w:ascii="Arial" w:eastAsia="Calibri" w:hAnsi="Arial" w:cs="AGA Furat Regular"/>
                <w:b/>
                <w:bCs/>
                <w:sz w:val="18"/>
                <w:szCs w:val="18"/>
                <w:lang w:eastAsia="en-MY"/>
              </w:rPr>
            </w:pPr>
            <w:r w:rsidRPr="007965F9">
              <w:rPr>
                <w:rFonts w:ascii="Arial" w:eastAsia="Calibri" w:hAnsi="Arial" w:cs="AGA Furat Regular"/>
                <w:b/>
                <w:bCs/>
                <w:sz w:val="18"/>
                <w:szCs w:val="18"/>
                <w:rtl/>
                <w:lang w:eastAsia="en-MY"/>
              </w:rPr>
              <w:t>فلا فقر يدوم ولا غناء</w:t>
            </w:r>
            <w:r w:rsidRPr="007965F9">
              <w:rPr>
                <w:rFonts w:ascii="Arial" w:eastAsia="Calibri" w:hAnsi="Arial" w:cs="AGA Furat Regular" w:hint="cs"/>
                <w:b/>
                <w:bCs/>
                <w:sz w:val="18"/>
                <w:szCs w:val="18"/>
                <w:rtl/>
                <w:lang w:eastAsia="en-MY"/>
              </w:rPr>
              <w:br/>
            </w:r>
          </w:p>
        </w:tc>
      </w:tr>
    </w:tbl>
    <w:p w:rsidR="007965F9" w:rsidRPr="007965F9" w:rsidRDefault="007965F9" w:rsidP="007965F9">
      <w:pPr>
        <w:pStyle w:val="a3"/>
        <w:jc w:val="right"/>
        <w:rPr>
          <w:b/>
          <w:bCs/>
          <w:sz w:val="18"/>
          <w:szCs w:val="18"/>
        </w:rPr>
      </w:pPr>
      <w:r w:rsidRPr="007965F9">
        <w:rPr>
          <w:rFonts w:ascii="Lotus Linotype" w:hAnsi="Lotus Linotype" w:cs="AL-Hotham"/>
          <w:b/>
          <w:bCs/>
          <w:sz w:val="18"/>
          <w:szCs w:val="18"/>
          <w:rtl/>
        </w:rPr>
        <w:t>بمد غناء، والأصل عند الكوفيين: غنًى، بالقصر؛ فلما اضطر الشاعر مد، وذهب البصريون إلى أن "غناء" في البيت مصدر لغانيت؛ لأنهم يمنعون مد المقصور ولو في ضرورة الشعر؛ فتعارض قولان: أحدهما مجمع عليه، والآخر مختلف فيه؛ فكان المجمع عليه أولى من المختلف فيه.</w:t>
      </w:r>
    </w:p>
    <w:p w:rsidR="0095415F" w:rsidRDefault="0095415F" w:rsidP="0095415F">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95415F" w:rsidRDefault="0095415F" w:rsidP="0095415F">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95415F" w:rsidRDefault="0095415F" w:rsidP="0095415F">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95415F" w:rsidRDefault="0095415F" w:rsidP="0095415F">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95415F" w:rsidRDefault="0095415F" w:rsidP="0095415F">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95415F" w:rsidRDefault="0095415F" w:rsidP="0095415F">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95415F" w:rsidRDefault="0095415F" w:rsidP="0095415F">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95415F" w:rsidRDefault="0095415F" w:rsidP="0095415F">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lastRenderedPageBreak/>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95415F" w:rsidRDefault="0095415F" w:rsidP="0095415F">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95415F" w:rsidRDefault="0095415F" w:rsidP="0095415F">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95415F" w:rsidRDefault="0095415F" w:rsidP="0095415F">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7965F9" w:rsidRPr="0095415F" w:rsidRDefault="007965F9" w:rsidP="0095415F">
      <w:pPr>
        <w:widowControl w:val="0"/>
        <w:spacing w:after="120" w:line="240" w:lineRule="auto"/>
        <w:jc w:val="center"/>
        <w:rPr>
          <w:lang w:bidi="ar-EG"/>
        </w:rPr>
      </w:pPr>
    </w:p>
    <w:sectPr w:rsidR="007965F9" w:rsidRPr="0095415F" w:rsidSect="0095415F">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Lotus Linotype">
    <w:altName w:val="Times New Roman"/>
    <w:charset w:val="00"/>
    <w:family w:val="auto"/>
    <w:pitch w:val="variable"/>
    <w:sig w:usb0="00000000" w:usb1="80000000" w:usb2="00000008" w:usb3="00000000" w:csb0="00000043" w:csb1="00000000"/>
  </w:font>
  <w:font w:name="AL-Hotham">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Furat Regul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5F9"/>
    <w:rsid w:val="001A20CC"/>
    <w:rsid w:val="001D4779"/>
    <w:rsid w:val="002E69FF"/>
    <w:rsid w:val="005F5EA2"/>
    <w:rsid w:val="007965F9"/>
    <w:rsid w:val="007B480D"/>
    <w:rsid w:val="007E639D"/>
    <w:rsid w:val="0095415F"/>
    <w:rsid w:val="00A263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C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965F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5415F"/>
    <w:pPr>
      <w:ind w:left="720"/>
      <w:contextualSpacing/>
    </w:pPr>
  </w:style>
</w:styles>
</file>

<file path=word/webSettings.xml><?xml version="1.0" encoding="utf-8"?>
<w:webSettings xmlns:r="http://schemas.openxmlformats.org/officeDocument/2006/relationships" xmlns:w="http://schemas.openxmlformats.org/wordprocessingml/2006/main">
  <w:divs>
    <w:div w:id="892470262">
      <w:bodyDiv w:val="1"/>
      <w:marLeft w:val="0"/>
      <w:marRight w:val="0"/>
      <w:marTop w:val="0"/>
      <w:marBottom w:val="0"/>
      <w:divBdr>
        <w:top w:val="none" w:sz="0" w:space="0" w:color="auto"/>
        <w:left w:val="none" w:sz="0" w:space="0" w:color="auto"/>
        <w:bottom w:val="none" w:sz="0" w:space="0" w:color="auto"/>
        <w:right w:val="none" w:sz="0" w:space="0" w:color="auto"/>
      </w:divBdr>
    </w:div>
    <w:div w:id="1182940835">
      <w:bodyDiv w:val="1"/>
      <w:marLeft w:val="0"/>
      <w:marRight w:val="0"/>
      <w:marTop w:val="0"/>
      <w:marBottom w:val="0"/>
      <w:divBdr>
        <w:top w:val="none" w:sz="0" w:space="0" w:color="auto"/>
        <w:left w:val="none" w:sz="0" w:space="0" w:color="auto"/>
        <w:bottom w:val="none" w:sz="0" w:space="0" w:color="auto"/>
        <w:right w:val="none" w:sz="0" w:space="0" w:color="auto"/>
      </w:divBdr>
    </w:div>
    <w:div w:id="121393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2013-06-15T02:09:00Z</dcterms:created>
  <dcterms:modified xsi:type="dcterms:W3CDTF">2013-06-16T15:08:00Z</dcterms:modified>
</cp:coreProperties>
</file>