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F1015F" w:rsidP="00F1015F">
      <w:pPr>
        <w:spacing w:line="240" w:lineRule="auto"/>
        <w:jc w:val="center"/>
        <w:rPr>
          <w:i/>
          <w:iCs/>
          <w:rtl/>
        </w:rPr>
      </w:pPr>
      <w:r w:rsidRPr="00F1015F">
        <w:rPr>
          <w:rFonts w:asciiTheme="majorBidi" w:eastAsia="Calibri" w:hAnsiTheme="majorBidi" w:cstheme="majorBidi"/>
          <w:i/>
          <w:iCs/>
          <w:sz w:val="48"/>
          <w:szCs w:val="48"/>
          <w:rtl/>
        </w:rPr>
        <w:t xml:space="preserve">القضاء في عهد </w:t>
      </w:r>
      <w:proofErr w:type="gramStart"/>
      <w:r w:rsidRPr="00F1015F">
        <w:rPr>
          <w:rFonts w:asciiTheme="majorBidi" w:eastAsia="Calibri" w:hAnsiTheme="majorBidi" w:cstheme="majorBidi"/>
          <w:i/>
          <w:iCs/>
          <w:sz w:val="48"/>
          <w:szCs w:val="48"/>
          <w:rtl/>
        </w:rPr>
        <w:t>سيدنا</w:t>
      </w:r>
      <w:proofErr w:type="gramEnd"/>
      <w:r w:rsidRPr="00F1015F">
        <w:rPr>
          <w:rFonts w:asciiTheme="majorBidi" w:eastAsia="Calibri" w:hAnsiTheme="majorBidi" w:cstheme="majorBidi"/>
          <w:i/>
          <w:iCs/>
          <w:sz w:val="48"/>
          <w:szCs w:val="48"/>
          <w:rtl/>
        </w:rPr>
        <w:t xml:space="preserve"> عمر بن الخطاب</w:t>
      </w:r>
      <w:r w:rsidRPr="00F1015F">
        <w:rPr>
          <w:rFonts w:ascii="Calibri" w:eastAsia="Calibri" w:hAnsi="Calibri" w:cs="AGA Rasheeq Bold" w:hint="cs"/>
          <w:i/>
          <w:iCs/>
          <w:sz w:val="28"/>
          <w:szCs w:val="28"/>
          <w:rtl/>
        </w:rPr>
        <w:t xml:space="preserve"> </w:t>
      </w:r>
      <w:r w:rsidRPr="00F1015F">
        <w:rPr>
          <w:rFonts w:ascii="Calibri" w:eastAsia="Calibri" w:hAnsi="Calibri" w:cs="SC_ALYERMOOK" w:hint="cs"/>
          <w:b/>
          <w:bCs/>
          <w:i/>
          <w:iCs/>
          <w:position w:val="-4"/>
          <w:sz w:val="40"/>
          <w:szCs w:val="40"/>
          <w:rtl/>
        </w:rPr>
        <w:t>&gt;</w:t>
      </w:r>
    </w:p>
    <w:p w:rsidR="00F1015F" w:rsidRPr="005B4E84" w:rsidRDefault="00F1015F" w:rsidP="00F1015F">
      <w:pPr>
        <w:pStyle w:val="papersubtitle"/>
        <w:bidi/>
        <w:rPr>
          <w:i/>
          <w:iCs/>
          <w:rtl/>
        </w:rPr>
      </w:pPr>
      <w:r w:rsidRPr="005B4E84">
        <w:rPr>
          <w:i/>
          <w:iCs/>
          <w:rtl/>
        </w:rPr>
        <w:t xml:space="preserve">بحث  فى </w:t>
      </w:r>
      <w:r w:rsidRPr="005B4E84">
        <w:rPr>
          <w:rFonts w:hint="cs"/>
          <w:i/>
          <w:iCs/>
          <w:rtl/>
        </w:rPr>
        <w:t>نظام القضاء</w:t>
      </w:r>
    </w:p>
    <w:p w:rsidR="00D04B36" w:rsidRPr="00FC57AE" w:rsidRDefault="00D04B36" w:rsidP="00D04B36">
      <w:pPr>
        <w:pStyle w:val="papersubtitle"/>
        <w:bidi/>
        <w:rPr>
          <w:i/>
          <w:iCs/>
          <w:sz w:val="24"/>
          <w:szCs w:val="24"/>
        </w:rPr>
      </w:pPr>
      <w:r>
        <w:rPr>
          <w:i/>
          <w:iCs/>
          <w:sz w:val="24"/>
          <w:szCs w:val="24"/>
          <w:rtl/>
        </w:rPr>
        <w:t xml:space="preserve">إعداد </w:t>
      </w:r>
      <w:proofErr w:type="spellStart"/>
      <w:r>
        <w:rPr>
          <w:rFonts w:hint="cs"/>
          <w:i/>
          <w:iCs/>
          <w:sz w:val="24"/>
          <w:szCs w:val="24"/>
          <w:rtl/>
        </w:rPr>
        <w:t>د/</w:t>
      </w:r>
      <w:proofErr w:type="spellEnd"/>
      <w:r>
        <w:rPr>
          <w:rFonts w:hint="cs"/>
          <w:i/>
          <w:iCs/>
          <w:sz w:val="24"/>
          <w:szCs w:val="24"/>
          <w:rtl/>
        </w:rPr>
        <w:t xml:space="preserve"> وليد على الطنطاوى</w:t>
      </w:r>
    </w:p>
    <w:p w:rsidR="00D04B36" w:rsidRPr="00FC57AE" w:rsidRDefault="00D04B36" w:rsidP="00D04B36">
      <w:pPr>
        <w:pStyle w:val="papersubtitle"/>
        <w:bidi/>
        <w:rPr>
          <w:i/>
          <w:iCs/>
          <w:sz w:val="24"/>
          <w:szCs w:val="24"/>
        </w:rPr>
      </w:pPr>
      <w:r w:rsidRPr="00FC57AE">
        <w:rPr>
          <w:i/>
          <w:iCs/>
          <w:sz w:val="24"/>
          <w:szCs w:val="24"/>
          <w:rtl/>
        </w:rPr>
        <w:t xml:space="preserve">قسم </w:t>
      </w:r>
      <w:r>
        <w:rPr>
          <w:rFonts w:hint="cs"/>
          <w:i/>
          <w:iCs/>
          <w:sz w:val="24"/>
          <w:szCs w:val="24"/>
          <w:rtl/>
        </w:rPr>
        <w:t>الفقه وأصوله</w:t>
      </w:r>
    </w:p>
    <w:p w:rsidR="00D04B36" w:rsidRPr="00FC57AE" w:rsidRDefault="00D04B36" w:rsidP="00D04B36">
      <w:pPr>
        <w:pStyle w:val="papersubtitle"/>
        <w:bidi/>
        <w:rPr>
          <w:i/>
          <w:iCs/>
          <w:sz w:val="24"/>
          <w:szCs w:val="24"/>
        </w:rPr>
      </w:pPr>
      <w:proofErr w:type="gramStart"/>
      <w:r w:rsidRPr="00FC57AE">
        <w:rPr>
          <w:i/>
          <w:iCs/>
          <w:sz w:val="24"/>
          <w:szCs w:val="24"/>
          <w:rtl/>
        </w:rPr>
        <w:t>كلية</w:t>
      </w:r>
      <w:proofErr w:type="gramEnd"/>
      <w:r w:rsidRPr="00FC57AE">
        <w:rPr>
          <w:i/>
          <w:iCs/>
          <w:sz w:val="24"/>
          <w:szCs w:val="24"/>
          <w:rtl/>
        </w:rPr>
        <w:t xml:space="preserve"> ال</w:t>
      </w:r>
      <w:r w:rsidRPr="00FC57AE">
        <w:rPr>
          <w:rFonts w:hint="cs"/>
          <w:i/>
          <w:iCs/>
          <w:sz w:val="24"/>
          <w:szCs w:val="24"/>
          <w:rtl/>
        </w:rPr>
        <w:t>علوم الإسلامية</w:t>
      </w:r>
      <w:r w:rsidRPr="00FC57AE">
        <w:rPr>
          <w:i/>
          <w:iCs/>
          <w:sz w:val="24"/>
          <w:szCs w:val="24"/>
          <w:rtl/>
        </w:rPr>
        <w:t xml:space="preserve"> </w:t>
      </w:r>
      <w:proofErr w:type="spellStart"/>
      <w:r w:rsidRPr="00FC57AE">
        <w:rPr>
          <w:i/>
          <w:iCs/>
          <w:sz w:val="24"/>
          <w:szCs w:val="24"/>
          <w:rtl/>
        </w:rPr>
        <w:t>–</w:t>
      </w:r>
      <w:proofErr w:type="spellEnd"/>
      <w:r w:rsidRPr="00FC57AE">
        <w:rPr>
          <w:i/>
          <w:iCs/>
          <w:sz w:val="24"/>
          <w:szCs w:val="24"/>
          <w:rtl/>
        </w:rPr>
        <w:t xml:space="preserve"> جامعة المدينة العالمية</w:t>
      </w:r>
    </w:p>
    <w:p w:rsidR="00D04B36" w:rsidRDefault="00D04B36" w:rsidP="00D04B36">
      <w:pPr>
        <w:pStyle w:val="papersubtitle"/>
        <w:bidi/>
        <w:rPr>
          <w:i/>
          <w:iCs/>
          <w:sz w:val="24"/>
          <w:szCs w:val="24"/>
          <w:rtl/>
        </w:rPr>
      </w:pPr>
      <w:r w:rsidRPr="00FC57AE">
        <w:rPr>
          <w:i/>
          <w:iCs/>
          <w:sz w:val="24"/>
          <w:szCs w:val="24"/>
          <w:rtl/>
        </w:rPr>
        <w:t xml:space="preserve">شاه علم </w:t>
      </w:r>
      <w:proofErr w:type="spellStart"/>
      <w:r w:rsidRPr="00FC57AE">
        <w:rPr>
          <w:i/>
          <w:iCs/>
          <w:sz w:val="24"/>
          <w:szCs w:val="24"/>
          <w:rtl/>
        </w:rPr>
        <w:t>–</w:t>
      </w:r>
      <w:proofErr w:type="spellEnd"/>
      <w:r w:rsidRPr="00FC57AE">
        <w:rPr>
          <w:i/>
          <w:iCs/>
          <w:sz w:val="24"/>
          <w:szCs w:val="24"/>
          <w:rtl/>
        </w:rPr>
        <w:t xml:space="preserve"> ماليزيا</w:t>
      </w:r>
    </w:p>
    <w:p w:rsidR="00D04B36" w:rsidRPr="007F7A9D" w:rsidRDefault="00D04B36" w:rsidP="00D04B36">
      <w:pPr>
        <w:jc w:val="center"/>
        <w:rPr>
          <w:b/>
          <w:bCs/>
          <w:sz w:val="18"/>
          <w:szCs w:val="18"/>
          <w:rtl/>
          <w:lang w:bidi="ar-EG"/>
        </w:rPr>
      </w:pPr>
      <w:r>
        <w:rPr>
          <w:b/>
          <w:bCs/>
          <w:sz w:val="18"/>
          <w:szCs w:val="18"/>
          <w:lang w:bidi="ar-EG"/>
        </w:rPr>
        <w:t>waleed.eltantawy@mediu.ws</w:t>
      </w:r>
    </w:p>
    <w:p w:rsidR="00F1015F" w:rsidRPr="00D04B36" w:rsidRDefault="00F1015F" w:rsidP="00F1015F">
      <w:pPr>
        <w:spacing w:after="120" w:line="240" w:lineRule="auto"/>
        <w:jc w:val="lowKashida"/>
        <w:rPr>
          <w:rFonts w:asciiTheme="majorBidi" w:hAnsiTheme="majorBidi" w:cstheme="majorBidi" w:hint="cs"/>
          <w:sz w:val="18"/>
          <w:szCs w:val="18"/>
          <w:rtl/>
          <w:lang w:bidi="ar-EG"/>
        </w:rPr>
        <w:sectPr w:rsidR="00F1015F" w:rsidRPr="00D04B36" w:rsidSect="00BF7572">
          <w:pgSz w:w="11906" w:h="16838"/>
          <w:pgMar w:top="964" w:right="1021" w:bottom="964" w:left="1021" w:header="709" w:footer="709" w:gutter="0"/>
          <w:cols w:space="708"/>
          <w:bidi/>
          <w:rtlGutter/>
          <w:docGrid w:linePitch="360"/>
        </w:sectPr>
      </w:pPr>
    </w:p>
    <w:p w:rsidR="00F1015F" w:rsidRPr="00F1015F" w:rsidRDefault="00F1015F" w:rsidP="00F1015F">
      <w:pPr>
        <w:spacing w:after="120" w:line="240" w:lineRule="auto"/>
        <w:jc w:val="lowKashida"/>
        <w:rPr>
          <w:rFonts w:asciiTheme="majorBidi" w:hAnsiTheme="majorBidi" w:cstheme="majorBidi"/>
          <w:b/>
          <w:bCs/>
          <w:sz w:val="18"/>
          <w:szCs w:val="18"/>
          <w:rtl/>
        </w:rPr>
      </w:pPr>
      <w:r w:rsidRPr="00F1015F">
        <w:rPr>
          <w:rFonts w:asciiTheme="majorBidi" w:hAnsiTheme="majorBidi" w:cstheme="majorBidi"/>
          <w:b/>
          <w:bCs/>
          <w:sz w:val="18"/>
          <w:szCs w:val="18"/>
          <w:rtl/>
        </w:rPr>
        <w:lastRenderedPageBreak/>
        <w:t xml:space="preserve">خلاصة ـــ هذا </w:t>
      </w:r>
      <w:proofErr w:type="gramStart"/>
      <w:r w:rsidRPr="00F1015F">
        <w:rPr>
          <w:rFonts w:asciiTheme="majorBidi" w:hAnsiTheme="majorBidi" w:cstheme="majorBidi"/>
          <w:b/>
          <w:bCs/>
          <w:sz w:val="18"/>
          <w:szCs w:val="18"/>
          <w:rtl/>
        </w:rPr>
        <w:t>البحث</w:t>
      </w:r>
      <w:proofErr w:type="gramEnd"/>
      <w:r w:rsidRPr="00F1015F">
        <w:rPr>
          <w:rFonts w:asciiTheme="majorBidi" w:hAnsiTheme="majorBidi" w:cstheme="majorBidi"/>
          <w:b/>
          <w:bCs/>
          <w:sz w:val="18"/>
          <w:szCs w:val="18"/>
          <w:rtl/>
        </w:rPr>
        <w:t xml:space="preserve"> يبحث في </w:t>
      </w:r>
      <w:r w:rsidRPr="00F1015F">
        <w:rPr>
          <w:rFonts w:asciiTheme="majorBidi" w:eastAsia="Calibri" w:hAnsiTheme="majorBidi" w:cstheme="majorBidi"/>
          <w:b/>
          <w:bCs/>
          <w:sz w:val="18"/>
          <w:szCs w:val="18"/>
          <w:rtl/>
        </w:rPr>
        <w:t xml:space="preserve">القضاء في عهد سيدنا عمر بن الخطاب </w:t>
      </w:r>
      <w:r w:rsidRPr="00F1015F">
        <w:rPr>
          <w:rFonts w:asciiTheme="majorBidi" w:eastAsia="Calibri" w:hAnsiTheme="majorBidi" w:cstheme="majorBidi"/>
          <w:b/>
          <w:bCs/>
          <w:position w:val="-4"/>
          <w:sz w:val="18"/>
          <w:szCs w:val="18"/>
          <w:rtl/>
        </w:rPr>
        <w:t>&gt;</w:t>
      </w:r>
    </w:p>
    <w:p w:rsidR="00F1015F" w:rsidRPr="00F1015F" w:rsidRDefault="00F1015F" w:rsidP="00F1015F">
      <w:pPr>
        <w:spacing w:after="120" w:line="240" w:lineRule="auto"/>
        <w:jc w:val="lowKashida"/>
        <w:rPr>
          <w:rFonts w:asciiTheme="majorBidi" w:hAnsiTheme="majorBidi" w:cstheme="majorBidi"/>
          <w:b/>
          <w:bCs/>
          <w:sz w:val="18"/>
          <w:szCs w:val="18"/>
          <w:rtl/>
        </w:rPr>
      </w:pPr>
      <w:r w:rsidRPr="00F1015F">
        <w:rPr>
          <w:rFonts w:asciiTheme="majorBidi" w:hAnsiTheme="majorBidi" w:cstheme="majorBidi"/>
          <w:b/>
          <w:bCs/>
          <w:sz w:val="18"/>
          <w:szCs w:val="18"/>
          <w:rtl/>
        </w:rPr>
        <w:t>الكلمات المفتاحية : الخلافة ، الإسلامية ، بلادَ الفرس</w:t>
      </w:r>
    </w:p>
    <w:p w:rsidR="00F1015F" w:rsidRPr="00F1015F" w:rsidRDefault="00F1015F" w:rsidP="00F1015F">
      <w:pPr>
        <w:pStyle w:val="a4"/>
        <w:numPr>
          <w:ilvl w:val="0"/>
          <w:numId w:val="1"/>
        </w:numPr>
        <w:spacing w:after="120"/>
        <w:jc w:val="center"/>
        <w:rPr>
          <w:rFonts w:asciiTheme="majorBidi" w:hAnsiTheme="majorBidi" w:cstheme="majorBidi"/>
          <w:b/>
          <w:bCs/>
          <w:sz w:val="18"/>
          <w:szCs w:val="18"/>
          <w:rtl/>
        </w:rPr>
      </w:pPr>
      <w:r w:rsidRPr="00F1015F">
        <w:rPr>
          <w:rFonts w:asciiTheme="majorBidi" w:hAnsiTheme="majorBidi" w:cstheme="majorBidi"/>
          <w:b/>
          <w:bCs/>
          <w:sz w:val="18"/>
          <w:szCs w:val="18"/>
          <w:rtl/>
        </w:rPr>
        <w:t xml:space="preserve"> </w:t>
      </w:r>
      <w:proofErr w:type="gramStart"/>
      <w:r w:rsidRPr="00F1015F">
        <w:rPr>
          <w:rFonts w:asciiTheme="majorBidi" w:hAnsiTheme="majorBidi" w:cstheme="majorBidi"/>
          <w:b/>
          <w:bCs/>
          <w:sz w:val="18"/>
          <w:szCs w:val="18"/>
          <w:rtl/>
        </w:rPr>
        <w:t>المقدمة</w:t>
      </w:r>
      <w:proofErr w:type="gramEnd"/>
    </w:p>
    <w:p w:rsidR="00F1015F" w:rsidRPr="00F1015F" w:rsidRDefault="00F1015F" w:rsidP="00F1015F">
      <w:pPr>
        <w:pStyle w:val="a3"/>
        <w:bidi/>
        <w:spacing w:before="0" w:beforeAutospacing="0" w:after="120" w:afterAutospacing="0"/>
        <w:jc w:val="lowKashida"/>
        <w:rPr>
          <w:rFonts w:asciiTheme="majorBidi" w:hAnsiTheme="majorBidi" w:cstheme="majorBidi"/>
          <w:b/>
          <w:bCs/>
          <w:sz w:val="18"/>
          <w:szCs w:val="18"/>
          <w:rtl/>
        </w:rPr>
      </w:pPr>
      <w:r w:rsidRPr="00F1015F">
        <w:rPr>
          <w:rFonts w:asciiTheme="majorBidi" w:hAnsiTheme="majorBidi" w:cstheme="majorBidi"/>
          <w:b/>
          <w:bCs/>
          <w:sz w:val="18"/>
          <w:szCs w:val="18"/>
          <w:rtl/>
        </w:rPr>
        <w:t xml:space="preserve"> </w:t>
      </w:r>
      <w:proofErr w:type="gramStart"/>
      <w:r w:rsidRPr="00F1015F">
        <w:rPr>
          <w:rFonts w:asciiTheme="majorBidi" w:hAnsiTheme="majorBidi" w:cstheme="majorBidi"/>
          <w:b/>
          <w:bCs/>
          <w:sz w:val="18"/>
          <w:szCs w:val="18"/>
          <w:rtl/>
        </w:rPr>
        <w:t>الحمد</w:t>
      </w:r>
      <w:proofErr w:type="gramEnd"/>
      <w:r w:rsidRPr="00F1015F">
        <w:rPr>
          <w:rFonts w:asciiTheme="majorBidi" w:hAnsiTheme="majorBidi" w:cstheme="majorBidi"/>
          <w:b/>
          <w:bCs/>
          <w:sz w:val="18"/>
          <w:szCs w:val="18"/>
          <w:rtl/>
        </w:rPr>
        <w:t xml:space="preserve"> لله، والصلاة والسلام على سيدنا رسول الله، وعلى آله وصحبه ومن والاه، سوف نتحدث في هذا المقال عن </w:t>
      </w:r>
      <w:r w:rsidRPr="00F1015F">
        <w:rPr>
          <w:rFonts w:asciiTheme="majorBidi" w:eastAsia="Calibri" w:hAnsiTheme="majorBidi" w:cstheme="majorBidi"/>
          <w:b/>
          <w:bCs/>
          <w:sz w:val="18"/>
          <w:szCs w:val="18"/>
          <w:rtl/>
        </w:rPr>
        <w:t xml:space="preserve">القضاء في عهد سيدنا عمر بن الخطاب </w:t>
      </w:r>
      <w:r w:rsidRPr="00F1015F">
        <w:rPr>
          <w:rFonts w:asciiTheme="majorBidi" w:eastAsia="Calibri" w:hAnsiTheme="majorBidi" w:cstheme="majorBidi"/>
          <w:b/>
          <w:bCs/>
          <w:position w:val="-4"/>
          <w:sz w:val="18"/>
          <w:szCs w:val="18"/>
          <w:rtl/>
        </w:rPr>
        <w:t>&gt;</w:t>
      </w:r>
    </w:p>
    <w:p w:rsidR="00F1015F" w:rsidRPr="00F1015F" w:rsidRDefault="00F1015F" w:rsidP="00F1015F">
      <w:pPr>
        <w:pStyle w:val="a3"/>
        <w:numPr>
          <w:ilvl w:val="0"/>
          <w:numId w:val="1"/>
        </w:numPr>
        <w:bidi/>
        <w:spacing w:before="0" w:beforeAutospacing="0" w:after="120" w:afterAutospacing="0"/>
        <w:jc w:val="center"/>
        <w:rPr>
          <w:rFonts w:asciiTheme="majorBidi" w:hAnsiTheme="majorBidi" w:cstheme="majorBidi"/>
          <w:b/>
          <w:bCs/>
          <w:sz w:val="18"/>
          <w:szCs w:val="18"/>
          <w:rtl/>
        </w:rPr>
      </w:pPr>
      <w:r w:rsidRPr="00F1015F">
        <w:rPr>
          <w:rFonts w:asciiTheme="majorBidi" w:hAnsiTheme="majorBidi" w:cstheme="majorBidi"/>
          <w:b/>
          <w:bCs/>
          <w:sz w:val="18"/>
          <w:szCs w:val="18"/>
          <w:rtl/>
        </w:rPr>
        <w:t>عنوان المقال</w:t>
      </w:r>
    </w:p>
    <w:p w:rsidR="00F1015F" w:rsidRPr="00F1015F" w:rsidRDefault="00F1015F" w:rsidP="00F1015F">
      <w:pPr>
        <w:pStyle w:val="a3"/>
        <w:bidi/>
        <w:spacing w:before="0" w:beforeAutospacing="0" w:after="120" w:afterAutospacing="0"/>
        <w:jc w:val="lowKashida"/>
        <w:rPr>
          <w:rFonts w:asciiTheme="majorBidi" w:hAnsiTheme="majorBidi" w:cstheme="majorBidi"/>
          <w:b/>
          <w:bCs/>
          <w:sz w:val="18"/>
          <w:szCs w:val="18"/>
        </w:rPr>
      </w:pPr>
      <w:r w:rsidRPr="00F1015F">
        <w:rPr>
          <w:rFonts w:asciiTheme="majorBidi" w:hAnsiTheme="majorBidi" w:cstheme="majorBidi"/>
          <w:b/>
          <w:bCs/>
          <w:sz w:val="18"/>
          <w:szCs w:val="18"/>
          <w:rtl/>
        </w:rPr>
        <w:t xml:space="preserve">ولما تولى سيدنا عمر بن الخطاب الخلافة بعد سيدنا أبي بكر الصديق، اهتم بأمر القضاء جدًّا، فوجّه إليه جُلَّ عنايته، خصوصًا وأن الظروف قد تغيرت في عهد سيدنا عمر عن عهد سيدنا أبي بكر الصديق؛ فالدولة الإسلامية اتسعت في عهد سيدنا عمر اتساعًا هائلًا، فشملت بلادَ الفرس والشام والعراق والكوفة والبصرة ومصر وغيرها؛ لأن سيدنا عمر مصَّر بعض الأمصار، أي: أنشأ بعض العواصم، حتى أصبحت الدولة الإسلامية في عهد عمر </w:t>
      </w:r>
      <w:r w:rsidRPr="00F1015F">
        <w:rPr>
          <w:rFonts w:asciiTheme="majorBidi" w:hAnsiTheme="majorBidi" w:cstheme="majorBidi"/>
          <w:b/>
          <w:bCs/>
          <w:position w:val="-4"/>
          <w:sz w:val="18"/>
          <w:szCs w:val="18"/>
          <w:rtl/>
        </w:rPr>
        <w:t>&gt;</w:t>
      </w:r>
      <w:r w:rsidRPr="00F1015F">
        <w:rPr>
          <w:rFonts w:asciiTheme="majorBidi" w:hAnsiTheme="majorBidi" w:cstheme="majorBidi"/>
          <w:b/>
          <w:bCs/>
          <w:sz w:val="18"/>
          <w:szCs w:val="18"/>
          <w:rtl/>
        </w:rPr>
        <w:t xml:space="preserve"> دولة مترامية الأطراف؛ وعليه اتسعت أعباء الحكم وازدادت مهامّ الولاة، فكان لا بد من إحداث تنظيمات جديدة في ضَوء أحكام الشريعة الإسلامية.</w:t>
      </w:r>
    </w:p>
    <w:p w:rsidR="00F1015F" w:rsidRPr="00F1015F" w:rsidRDefault="00F1015F" w:rsidP="00F1015F">
      <w:pPr>
        <w:pStyle w:val="a3"/>
        <w:bidi/>
        <w:jc w:val="lowKashida"/>
        <w:rPr>
          <w:rFonts w:asciiTheme="majorBidi" w:hAnsiTheme="majorBidi" w:cstheme="majorBidi"/>
          <w:b/>
          <w:bCs/>
          <w:color w:val="000080"/>
          <w:sz w:val="18"/>
          <w:szCs w:val="18"/>
        </w:rPr>
      </w:pPr>
      <w:proofErr w:type="gramStart"/>
      <w:r w:rsidRPr="00F1015F">
        <w:rPr>
          <w:rFonts w:asciiTheme="majorBidi" w:hAnsiTheme="majorBidi" w:cstheme="majorBidi"/>
          <w:b/>
          <w:bCs/>
          <w:color w:val="000080"/>
          <w:sz w:val="18"/>
          <w:szCs w:val="18"/>
          <w:rtl/>
        </w:rPr>
        <w:t>ولنا</w:t>
      </w:r>
      <w:proofErr w:type="gramEnd"/>
      <w:r w:rsidRPr="00F1015F">
        <w:rPr>
          <w:rFonts w:asciiTheme="majorBidi" w:hAnsiTheme="majorBidi" w:cstheme="majorBidi"/>
          <w:b/>
          <w:bCs/>
          <w:color w:val="000080"/>
          <w:sz w:val="18"/>
          <w:szCs w:val="18"/>
          <w:rtl/>
        </w:rPr>
        <w:t xml:space="preserve"> على القضاء في عهد سيدنا عمر بن الخطاب </w:t>
      </w:r>
      <w:r w:rsidRPr="00F1015F">
        <w:rPr>
          <w:rFonts w:asciiTheme="majorBidi" w:hAnsiTheme="majorBidi" w:cstheme="majorBidi"/>
          <w:b/>
          <w:bCs/>
          <w:color w:val="000080"/>
          <w:position w:val="-4"/>
          <w:sz w:val="18"/>
          <w:szCs w:val="18"/>
          <w:rtl/>
        </w:rPr>
        <w:t>&gt;</w:t>
      </w:r>
      <w:r w:rsidRPr="00F1015F">
        <w:rPr>
          <w:rFonts w:asciiTheme="majorBidi" w:hAnsiTheme="majorBidi" w:cstheme="majorBidi"/>
          <w:b/>
          <w:bCs/>
          <w:color w:val="000080"/>
          <w:sz w:val="18"/>
          <w:szCs w:val="18"/>
          <w:rtl/>
        </w:rPr>
        <w:t xml:space="preserve"> عدة ملاحظات:</w:t>
      </w:r>
    </w:p>
    <w:p w:rsidR="00F1015F" w:rsidRPr="00F1015F" w:rsidRDefault="00F1015F" w:rsidP="00F1015F">
      <w:pPr>
        <w:pStyle w:val="a3"/>
        <w:numPr>
          <w:ilvl w:val="0"/>
          <w:numId w:val="2"/>
        </w:numPr>
        <w:tabs>
          <w:tab w:val="clear" w:pos="720"/>
          <w:tab w:val="num" w:pos="360"/>
        </w:tabs>
        <w:bidi/>
        <w:spacing w:before="0" w:beforeAutospacing="0" w:after="120" w:afterAutospacing="0"/>
        <w:ind w:left="357" w:hanging="357"/>
        <w:jc w:val="lowKashida"/>
        <w:rPr>
          <w:rFonts w:asciiTheme="majorBidi" w:hAnsiTheme="majorBidi" w:cstheme="majorBidi"/>
          <w:b/>
          <w:bCs/>
          <w:sz w:val="18"/>
          <w:szCs w:val="18"/>
        </w:rPr>
      </w:pPr>
      <w:r w:rsidRPr="00F1015F">
        <w:rPr>
          <w:rFonts w:asciiTheme="majorBidi" w:hAnsiTheme="majorBidi" w:cstheme="majorBidi"/>
          <w:b/>
          <w:bCs/>
          <w:sz w:val="18"/>
          <w:szCs w:val="18"/>
          <w:rtl/>
        </w:rPr>
        <w:t xml:space="preserve">يُلاحظ أن سيدنا عمر </w:t>
      </w:r>
      <w:r w:rsidRPr="00F1015F">
        <w:rPr>
          <w:rFonts w:asciiTheme="majorBidi" w:hAnsiTheme="majorBidi" w:cstheme="majorBidi"/>
          <w:b/>
          <w:bCs/>
          <w:position w:val="-4"/>
          <w:sz w:val="18"/>
          <w:szCs w:val="18"/>
          <w:rtl/>
        </w:rPr>
        <w:t>&gt;</w:t>
      </w:r>
      <w:r w:rsidRPr="00F1015F">
        <w:rPr>
          <w:rFonts w:asciiTheme="majorBidi" w:hAnsiTheme="majorBidi" w:cstheme="majorBidi"/>
          <w:b/>
          <w:bCs/>
          <w:sz w:val="18"/>
          <w:szCs w:val="18"/>
          <w:rtl/>
        </w:rPr>
        <w:t xml:space="preserve"> فصل القضاء عن الولاية، أي: الوالي كان في عهد سيدنا أبي بكر هو الوالي وهو القاضي؛ لكن سيدنا عمر فصل بين الوظيفتين، فعيَّن قُضاةً غير الولاة، أي: يرسل إلى كل بلد من البلاد كالبصرة والكوفة ومصر ونحو ذلك من الأمصار واليًا، ويرسل قاضيًا آخر غير الوالي، وأحيانًا كان يُسند الوظيفتين إلى شخص واحد، وأحيانًا يرسل قاضيًا فقط فأحدث هذا التغيير, وأول ما بدأ به أنه فصل القضاء عن الولاية، وعين للقضاء أشخاصًا غير الوُلاة.</w:t>
      </w:r>
    </w:p>
    <w:p w:rsidR="00F1015F" w:rsidRPr="00F1015F" w:rsidRDefault="00F1015F" w:rsidP="00F1015F">
      <w:pPr>
        <w:pStyle w:val="a3"/>
        <w:numPr>
          <w:ilvl w:val="0"/>
          <w:numId w:val="2"/>
        </w:numPr>
        <w:tabs>
          <w:tab w:val="clear" w:pos="720"/>
          <w:tab w:val="num" w:pos="360"/>
        </w:tabs>
        <w:bidi/>
        <w:spacing w:before="0" w:beforeAutospacing="0" w:after="120" w:afterAutospacing="0"/>
        <w:ind w:left="357" w:hanging="357"/>
        <w:jc w:val="lowKashida"/>
        <w:rPr>
          <w:rFonts w:asciiTheme="majorBidi" w:hAnsiTheme="majorBidi" w:cstheme="majorBidi"/>
          <w:b/>
          <w:bCs/>
          <w:sz w:val="18"/>
          <w:szCs w:val="18"/>
        </w:rPr>
      </w:pPr>
      <w:r w:rsidRPr="00F1015F">
        <w:rPr>
          <w:rFonts w:asciiTheme="majorBidi" w:hAnsiTheme="majorBidi" w:cstheme="majorBidi"/>
          <w:b/>
          <w:bCs/>
          <w:sz w:val="18"/>
          <w:szCs w:val="18"/>
          <w:rtl/>
        </w:rPr>
        <w:t>هو الذي كان يعين القُضاة في الأمصار بنفسه، أي: سنلاحظ عند بعض الخلفاء الآخرين أنه سيترك أمرَ تعيين القضا</w:t>
      </w:r>
      <w:r w:rsidRPr="00F1015F">
        <w:rPr>
          <w:rFonts w:asciiTheme="majorBidi" w:hAnsiTheme="majorBidi" w:cstheme="majorBidi"/>
          <w:b/>
          <w:bCs/>
          <w:sz w:val="18"/>
          <w:szCs w:val="18"/>
          <w:rtl/>
          <w:lang w:bidi="ar-EG"/>
        </w:rPr>
        <w:t>ة</w:t>
      </w:r>
      <w:r w:rsidRPr="00F1015F">
        <w:rPr>
          <w:rFonts w:asciiTheme="majorBidi" w:hAnsiTheme="majorBidi" w:cstheme="majorBidi"/>
          <w:b/>
          <w:bCs/>
          <w:sz w:val="18"/>
          <w:szCs w:val="18"/>
          <w:rtl/>
        </w:rPr>
        <w:t xml:space="preserve"> للوالي على المِصْر من الأمصار، أما سيدنا عمر فكان يعين الوالي ويعين القاضي بنفسه، يختاره بنفسه ويرسله ويكون على صلة به في الحكم، أي: هناك اتصالات ومشاورات, ومراجعات بين القُضاة في الأمصار وسيدنا عمر </w:t>
      </w:r>
      <w:r w:rsidRPr="00F1015F">
        <w:rPr>
          <w:rFonts w:asciiTheme="majorBidi" w:hAnsiTheme="majorBidi" w:cstheme="majorBidi"/>
          <w:b/>
          <w:bCs/>
          <w:position w:val="-4"/>
          <w:sz w:val="18"/>
          <w:szCs w:val="18"/>
          <w:rtl/>
        </w:rPr>
        <w:t>&gt;</w:t>
      </w:r>
      <w:r w:rsidRPr="00F1015F">
        <w:rPr>
          <w:rFonts w:asciiTheme="majorBidi" w:hAnsiTheme="majorBidi" w:cstheme="majorBidi"/>
          <w:b/>
          <w:bCs/>
          <w:sz w:val="18"/>
          <w:szCs w:val="18"/>
          <w:rtl/>
        </w:rPr>
        <w:t>.</w:t>
      </w:r>
    </w:p>
    <w:p w:rsidR="00F1015F" w:rsidRPr="00F1015F" w:rsidRDefault="00F1015F" w:rsidP="00F1015F">
      <w:pPr>
        <w:pStyle w:val="a3"/>
        <w:numPr>
          <w:ilvl w:val="0"/>
          <w:numId w:val="2"/>
        </w:numPr>
        <w:tabs>
          <w:tab w:val="clear" w:pos="720"/>
          <w:tab w:val="num" w:pos="360"/>
        </w:tabs>
        <w:bidi/>
        <w:spacing w:before="0" w:beforeAutospacing="0" w:after="120" w:afterAutospacing="0"/>
        <w:ind w:left="357" w:hanging="357"/>
        <w:jc w:val="lowKashida"/>
        <w:rPr>
          <w:rFonts w:asciiTheme="majorBidi" w:hAnsiTheme="majorBidi" w:cstheme="majorBidi"/>
          <w:b/>
          <w:bCs/>
          <w:sz w:val="18"/>
          <w:szCs w:val="18"/>
        </w:rPr>
      </w:pPr>
      <w:proofErr w:type="gramStart"/>
      <w:r w:rsidRPr="00F1015F">
        <w:rPr>
          <w:rFonts w:asciiTheme="majorBidi" w:hAnsiTheme="majorBidi" w:cstheme="majorBidi"/>
          <w:b/>
          <w:bCs/>
          <w:sz w:val="18"/>
          <w:szCs w:val="18"/>
          <w:rtl/>
        </w:rPr>
        <w:t>يلاحظ</w:t>
      </w:r>
      <w:proofErr w:type="gramEnd"/>
      <w:r w:rsidRPr="00F1015F">
        <w:rPr>
          <w:rFonts w:asciiTheme="majorBidi" w:hAnsiTheme="majorBidi" w:cstheme="majorBidi"/>
          <w:b/>
          <w:bCs/>
          <w:sz w:val="18"/>
          <w:szCs w:val="18"/>
          <w:rtl/>
        </w:rPr>
        <w:t xml:space="preserve"> أيضًا أنه أبقى بعض الولاة على القضاء مع ولايتهم، أي: بعض الولاة كان واليًا وكان قاضيًا أيضًا، فجمع بين الوظيفتين؛ لكن الجديد أنه في بعض الأمصار فصل بين هاتين السلطتين، أرسل قاضيًا غيرَ الوالي.</w:t>
      </w:r>
    </w:p>
    <w:p w:rsidR="00F1015F" w:rsidRPr="00F1015F" w:rsidRDefault="00F1015F" w:rsidP="00F1015F">
      <w:pPr>
        <w:pStyle w:val="a3"/>
        <w:numPr>
          <w:ilvl w:val="0"/>
          <w:numId w:val="2"/>
        </w:numPr>
        <w:tabs>
          <w:tab w:val="clear" w:pos="720"/>
          <w:tab w:val="num" w:pos="360"/>
        </w:tabs>
        <w:bidi/>
        <w:spacing w:before="0" w:beforeAutospacing="0" w:after="120" w:afterAutospacing="0"/>
        <w:ind w:left="360"/>
        <w:jc w:val="lowKashida"/>
        <w:rPr>
          <w:rFonts w:asciiTheme="majorBidi" w:hAnsiTheme="majorBidi" w:cstheme="majorBidi"/>
          <w:b/>
          <w:bCs/>
          <w:sz w:val="18"/>
          <w:szCs w:val="18"/>
        </w:rPr>
      </w:pPr>
      <w:r w:rsidRPr="00F1015F">
        <w:rPr>
          <w:rFonts w:asciiTheme="majorBidi" w:hAnsiTheme="majorBidi" w:cstheme="majorBidi"/>
          <w:b/>
          <w:bCs/>
          <w:sz w:val="18"/>
          <w:szCs w:val="18"/>
          <w:rtl/>
        </w:rPr>
        <w:t xml:space="preserve">امتاز عهد سيدنا عمر بأنه قسَّم القضاء إلى قضاء جزئي وقضاء كلي، بمعنى: أن بعض القُضاة أسند إليهم سيدنا عمر الحكمَ في القضايا البسيطة الصغيرة, التي يحكم فيها في النواحي المالية القليلة من الدراهم القليلة، أو الدنانير القليلة، لكنه في نفس الوقت كان هناك محاكم أو قضايا، أو قضاة للأمور الكلية. </w:t>
      </w:r>
    </w:p>
    <w:p w:rsidR="00F1015F" w:rsidRPr="00F1015F" w:rsidRDefault="00F1015F" w:rsidP="00F1015F">
      <w:pPr>
        <w:pStyle w:val="a3"/>
        <w:numPr>
          <w:ilvl w:val="0"/>
          <w:numId w:val="2"/>
        </w:numPr>
        <w:tabs>
          <w:tab w:val="clear" w:pos="720"/>
          <w:tab w:val="num" w:pos="360"/>
        </w:tabs>
        <w:bidi/>
        <w:spacing w:before="0" w:beforeAutospacing="0" w:after="120" w:afterAutospacing="0"/>
        <w:ind w:left="360"/>
        <w:jc w:val="lowKashida"/>
        <w:rPr>
          <w:rFonts w:asciiTheme="majorBidi" w:hAnsiTheme="majorBidi" w:cstheme="majorBidi"/>
          <w:b/>
          <w:bCs/>
          <w:sz w:val="18"/>
          <w:szCs w:val="18"/>
        </w:rPr>
      </w:pPr>
      <w:proofErr w:type="gramStart"/>
      <w:r w:rsidRPr="00F1015F">
        <w:rPr>
          <w:rFonts w:asciiTheme="majorBidi" w:hAnsiTheme="majorBidi" w:cstheme="majorBidi"/>
          <w:b/>
          <w:bCs/>
          <w:sz w:val="18"/>
          <w:szCs w:val="18"/>
          <w:rtl/>
        </w:rPr>
        <w:t>يلاحظ</w:t>
      </w:r>
      <w:proofErr w:type="gramEnd"/>
      <w:r w:rsidRPr="00F1015F">
        <w:rPr>
          <w:rFonts w:asciiTheme="majorBidi" w:hAnsiTheme="majorBidi" w:cstheme="majorBidi"/>
          <w:b/>
          <w:bCs/>
          <w:sz w:val="18"/>
          <w:szCs w:val="18"/>
          <w:rtl/>
        </w:rPr>
        <w:t xml:space="preserve"> على القضاء في عهد سيدنا عمر بن الخطاب </w:t>
      </w:r>
      <w:r w:rsidRPr="00F1015F">
        <w:rPr>
          <w:rFonts w:asciiTheme="majorBidi" w:hAnsiTheme="majorBidi" w:cstheme="majorBidi"/>
          <w:b/>
          <w:bCs/>
          <w:position w:val="-4"/>
          <w:sz w:val="18"/>
          <w:szCs w:val="18"/>
          <w:rtl/>
        </w:rPr>
        <w:t>&gt;</w:t>
      </w:r>
      <w:r w:rsidRPr="00F1015F">
        <w:rPr>
          <w:rFonts w:asciiTheme="majorBidi" w:hAnsiTheme="majorBidi" w:cstheme="majorBidi"/>
          <w:b/>
          <w:bCs/>
          <w:sz w:val="18"/>
          <w:szCs w:val="18"/>
          <w:rtl/>
        </w:rPr>
        <w:t xml:space="preserve"> أن من أهم مَن ولاهم عمر القضاء سيدنا عبد الله بن مسعود، فكان قاضيًا لسيدنا عمر ولم يكن قاضيًا وواليًا، أو واليًا فقط. وكذلك سليمان بن ربيعة وأبو عبد الله الحنفي وكعب بن سور، فهؤلاء كانوا قضاة فقط، اختارهم عمر وعينهم في أمصار مختلفة من الأمصار الإسلامية، وكان على مشاورة وعلى اتصال بهم، خصوصًا فيما يكون أمامهم من قضايا متشابكة.</w:t>
      </w:r>
    </w:p>
    <w:p w:rsidR="00F1015F" w:rsidRPr="00F1015F" w:rsidRDefault="00F1015F" w:rsidP="00F1015F">
      <w:pPr>
        <w:pStyle w:val="a3"/>
        <w:bidi/>
        <w:spacing w:before="0" w:beforeAutospacing="0" w:after="120" w:afterAutospacing="0"/>
        <w:jc w:val="lowKashida"/>
        <w:rPr>
          <w:rFonts w:asciiTheme="majorBidi" w:hAnsiTheme="majorBidi" w:cstheme="majorBidi"/>
          <w:b/>
          <w:bCs/>
          <w:sz w:val="18"/>
          <w:szCs w:val="18"/>
        </w:rPr>
      </w:pPr>
      <w:r w:rsidRPr="00F1015F">
        <w:rPr>
          <w:rFonts w:asciiTheme="majorBidi" w:hAnsiTheme="majorBidi" w:cstheme="majorBidi"/>
          <w:b/>
          <w:bCs/>
          <w:sz w:val="18"/>
          <w:szCs w:val="18"/>
          <w:rtl/>
        </w:rPr>
        <w:t xml:space="preserve">لكن ماذا عن المدينة المنورة؟ من الذي </w:t>
      </w:r>
      <w:proofErr w:type="gramStart"/>
      <w:r w:rsidRPr="00F1015F">
        <w:rPr>
          <w:rFonts w:asciiTheme="majorBidi" w:hAnsiTheme="majorBidi" w:cstheme="majorBidi"/>
          <w:b/>
          <w:bCs/>
          <w:sz w:val="18"/>
          <w:szCs w:val="18"/>
          <w:rtl/>
        </w:rPr>
        <w:t>كان</w:t>
      </w:r>
      <w:proofErr w:type="gramEnd"/>
      <w:r w:rsidRPr="00F1015F">
        <w:rPr>
          <w:rFonts w:asciiTheme="majorBidi" w:hAnsiTheme="majorBidi" w:cstheme="majorBidi"/>
          <w:b/>
          <w:bCs/>
          <w:sz w:val="18"/>
          <w:szCs w:val="18"/>
          <w:rtl/>
        </w:rPr>
        <w:t xml:space="preserve"> قاضيًا في المدينة المنورة؟ </w:t>
      </w:r>
      <w:proofErr w:type="gramStart"/>
      <w:r w:rsidRPr="00F1015F">
        <w:rPr>
          <w:rFonts w:asciiTheme="majorBidi" w:hAnsiTheme="majorBidi" w:cstheme="majorBidi"/>
          <w:b/>
          <w:bCs/>
          <w:sz w:val="18"/>
          <w:szCs w:val="18"/>
          <w:rtl/>
        </w:rPr>
        <w:t>هل</w:t>
      </w:r>
      <w:proofErr w:type="gramEnd"/>
      <w:r w:rsidRPr="00F1015F">
        <w:rPr>
          <w:rFonts w:asciiTheme="majorBidi" w:hAnsiTheme="majorBidi" w:cstheme="majorBidi"/>
          <w:b/>
          <w:bCs/>
          <w:sz w:val="18"/>
          <w:szCs w:val="18"/>
          <w:rtl/>
        </w:rPr>
        <w:t xml:space="preserve"> كان سيدنا عمر كما كان سيدنا أبو بكر، أم كان هناك قضاة غير سيدنا عمر؟ </w:t>
      </w:r>
    </w:p>
    <w:p w:rsidR="00F1015F" w:rsidRPr="00F1015F" w:rsidRDefault="00F1015F" w:rsidP="00170D5C">
      <w:pPr>
        <w:pStyle w:val="a3"/>
        <w:bidi/>
        <w:spacing w:before="0" w:beforeAutospacing="0" w:after="120" w:afterAutospacing="0"/>
        <w:jc w:val="lowKashida"/>
        <w:rPr>
          <w:rFonts w:asciiTheme="majorBidi" w:hAnsiTheme="majorBidi" w:cstheme="majorBidi"/>
          <w:b/>
          <w:bCs/>
          <w:sz w:val="18"/>
          <w:szCs w:val="18"/>
        </w:rPr>
      </w:pPr>
      <w:r w:rsidRPr="00F1015F">
        <w:rPr>
          <w:rFonts w:asciiTheme="majorBidi" w:hAnsiTheme="majorBidi" w:cstheme="majorBidi"/>
          <w:b/>
          <w:bCs/>
          <w:sz w:val="18"/>
          <w:szCs w:val="18"/>
          <w:rtl/>
        </w:rPr>
        <w:t xml:space="preserve">سيدنا عمر عيَّن للمدينة بعض القُضاة، منهم: سيدنا علي بن أبي طالب، وسيدنا زيد بن ثابت </w:t>
      </w:r>
      <w:r w:rsidRPr="00F1015F">
        <w:rPr>
          <w:rFonts w:asciiTheme="majorBidi" w:hAnsiTheme="majorBidi" w:cstheme="majorBidi"/>
          <w:b/>
          <w:bCs/>
          <w:position w:val="-4"/>
          <w:sz w:val="18"/>
          <w:szCs w:val="18"/>
          <w:rtl/>
        </w:rPr>
        <w:t>}</w:t>
      </w:r>
      <w:r w:rsidRPr="00F1015F">
        <w:rPr>
          <w:rFonts w:asciiTheme="majorBidi" w:hAnsiTheme="majorBidi" w:cstheme="majorBidi"/>
          <w:b/>
          <w:bCs/>
          <w:sz w:val="18"/>
          <w:szCs w:val="18"/>
          <w:rtl/>
        </w:rPr>
        <w:t xml:space="preserve">, وأيضًا سيدنا السائب بن يزيد، فمعروف أن هؤلاء كانوا قُضاة </w:t>
      </w:r>
      <w:r w:rsidRPr="00F1015F">
        <w:rPr>
          <w:rFonts w:asciiTheme="majorBidi" w:hAnsiTheme="majorBidi" w:cstheme="majorBidi"/>
          <w:b/>
          <w:bCs/>
          <w:sz w:val="18"/>
          <w:szCs w:val="18"/>
          <w:rtl/>
        </w:rPr>
        <w:lastRenderedPageBreak/>
        <w:t xml:space="preserve">لعمر في المدينة، ومما يروى في هذا المقام: أن أحد الصحابة كانت له قضية ومر بسيدنا عمر، ثم ذهب إلى علي وزيد بن ثابت فقضيَا له، ثم مر عائدًا إلى سيدنا عمر، فقال له: "بماذا قضى لك علي وزيد؟ قال: قضيَا بكذا وكذا، فقال: أمَّا أنا فلو كنت القاضي لحكمت بحكم آخر، لحكمت لك بكذا وكذا، فقال: وما يمنعك وأنت أمير المؤمنين؟ فقال: أنا أمير المؤمنين بالفعل، لكن لو أنني أردُّك إلى كتاب الله أو إلى سنة رسول </w:t>
      </w:r>
      <w:proofErr w:type="gramStart"/>
      <w:r w:rsidRPr="00F1015F">
        <w:rPr>
          <w:rFonts w:asciiTheme="majorBidi" w:hAnsiTheme="majorBidi" w:cstheme="majorBidi"/>
          <w:b/>
          <w:bCs/>
          <w:sz w:val="18"/>
          <w:szCs w:val="18"/>
          <w:rtl/>
        </w:rPr>
        <w:t>الله  لفعلت</w:t>
      </w:r>
      <w:proofErr w:type="gramEnd"/>
      <w:r w:rsidRPr="00F1015F">
        <w:rPr>
          <w:rFonts w:asciiTheme="majorBidi" w:hAnsiTheme="majorBidi" w:cstheme="majorBidi"/>
          <w:b/>
          <w:bCs/>
          <w:sz w:val="18"/>
          <w:szCs w:val="18"/>
          <w:rtl/>
        </w:rPr>
        <w:t>، ولكنني أردك إلى رأيي، والرأي مشترك". أي: رأيي كرأي علي بن أبي طالب وكرأي زيد بن ثابت وكرأي السائب بن يزيد، فهذا يدل على ورع سيدنا عمر وحزمه وعلمه الواسع، خصوصًا بالقضاء، وهذا جعله يختار القُضاة الممتازين من أهل العلم والاجتهاد، وكان كثير الثناء على سيدنا علي بن أبي طالب، فكان يقول: "قضية ولا أبا حسن لها"، حتى صار قوله في عليٍّ مثلًا يضرب.</w:t>
      </w:r>
    </w:p>
    <w:p w:rsidR="00F1015F" w:rsidRPr="00F1015F" w:rsidRDefault="00F1015F" w:rsidP="00F1015F">
      <w:pPr>
        <w:pStyle w:val="a3"/>
        <w:bidi/>
        <w:spacing w:before="0" w:beforeAutospacing="0" w:after="120" w:afterAutospacing="0"/>
        <w:jc w:val="lowKashida"/>
        <w:rPr>
          <w:rFonts w:asciiTheme="majorBidi" w:hAnsiTheme="majorBidi" w:cstheme="majorBidi"/>
          <w:b/>
          <w:bCs/>
          <w:spacing w:val="-4"/>
          <w:sz w:val="18"/>
          <w:szCs w:val="18"/>
        </w:rPr>
      </w:pPr>
      <w:r w:rsidRPr="00F1015F">
        <w:rPr>
          <w:rFonts w:asciiTheme="majorBidi" w:hAnsiTheme="majorBidi" w:cstheme="majorBidi"/>
          <w:b/>
          <w:bCs/>
          <w:spacing w:val="-4"/>
          <w:sz w:val="18"/>
          <w:szCs w:val="18"/>
          <w:rtl/>
        </w:rPr>
        <w:t>وهذا يدل على أنه عين في المدينة قضاة، ولم يكن يقضي بنفسه إلا عند الضرورة، لكنه في غالب الأحوال كان يقضي علي، وزيد بن ثابت، والسائب بن يزيد.</w:t>
      </w:r>
    </w:p>
    <w:p w:rsidR="00F1015F" w:rsidRPr="00F1015F" w:rsidRDefault="00F1015F" w:rsidP="00F1015F">
      <w:pPr>
        <w:pStyle w:val="a3"/>
        <w:numPr>
          <w:ilvl w:val="0"/>
          <w:numId w:val="2"/>
        </w:numPr>
        <w:tabs>
          <w:tab w:val="clear" w:pos="720"/>
          <w:tab w:val="num" w:pos="360"/>
        </w:tabs>
        <w:bidi/>
        <w:spacing w:before="0" w:beforeAutospacing="0" w:after="120" w:afterAutospacing="0"/>
        <w:ind w:left="360"/>
        <w:jc w:val="lowKashida"/>
        <w:rPr>
          <w:rFonts w:asciiTheme="majorBidi" w:hAnsiTheme="majorBidi" w:cstheme="majorBidi"/>
          <w:b/>
          <w:bCs/>
          <w:sz w:val="18"/>
          <w:szCs w:val="18"/>
        </w:rPr>
      </w:pPr>
      <w:r w:rsidRPr="00F1015F">
        <w:rPr>
          <w:rFonts w:asciiTheme="majorBidi" w:hAnsiTheme="majorBidi" w:cstheme="majorBidi"/>
          <w:b/>
          <w:bCs/>
          <w:sz w:val="18"/>
          <w:szCs w:val="18"/>
          <w:rtl/>
        </w:rPr>
        <w:t xml:space="preserve">يلاحظ على القضاء في عهد سيدنا عمر, أن سيدنا عمر بن الخطاب كتب كتابًا في القضاء، يُعتبر دستورًا للقضاء في كل زمان ومكان، وسيدنا عمر فهمه من كتاب الله ومن سنة رسول الله </w:t>
      </w:r>
      <w:r w:rsidRPr="00F1015F">
        <w:rPr>
          <w:rFonts w:asciiTheme="majorBidi" w:hAnsiTheme="majorBidi" w:cstheme="majorBidi"/>
          <w:b/>
          <w:bCs/>
          <w:position w:val="-4"/>
          <w:sz w:val="18"/>
          <w:szCs w:val="18"/>
        </w:rPr>
        <w:t></w:t>
      </w:r>
      <w:r w:rsidRPr="00F1015F">
        <w:rPr>
          <w:rFonts w:asciiTheme="majorBidi" w:hAnsiTheme="majorBidi" w:cstheme="majorBidi"/>
          <w:b/>
          <w:bCs/>
          <w:sz w:val="18"/>
          <w:szCs w:val="18"/>
          <w:rtl/>
        </w:rPr>
        <w:t xml:space="preserve">؛ لأن سيدنا رسول الله -كما سبق- كان يشجع أصحابَه على القضاء ويدربهم عليه، ومن هؤلاء الذين رباهم ودربهم سيدنا عمر بن الخطاب. </w:t>
      </w:r>
    </w:p>
    <w:p w:rsidR="00F1015F" w:rsidRPr="00F1015F" w:rsidRDefault="00F1015F" w:rsidP="00F1015F">
      <w:pPr>
        <w:pStyle w:val="a3"/>
        <w:bidi/>
        <w:spacing w:before="0" w:beforeAutospacing="0" w:after="120" w:afterAutospacing="0"/>
        <w:jc w:val="lowKashida"/>
        <w:rPr>
          <w:rFonts w:asciiTheme="majorBidi" w:hAnsiTheme="majorBidi" w:cstheme="majorBidi"/>
          <w:b/>
          <w:bCs/>
          <w:spacing w:val="-4"/>
          <w:sz w:val="18"/>
          <w:szCs w:val="18"/>
        </w:rPr>
      </w:pPr>
      <w:r w:rsidRPr="00F1015F">
        <w:rPr>
          <w:rFonts w:asciiTheme="majorBidi" w:hAnsiTheme="majorBidi" w:cstheme="majorBidi"/>
          <w:b/>
          <w:bCs/>
          <w:spacing w:val="-4"/>
          <w:sz w:val="18"/>
          <w:szCs w:val="18"/>
          <w:rtl/>
        </w:rPr>
        <w:t xml:space="preserve">سيدنا عمر كتب كتابًا إلى أحد ولاته يقال إنه: شريح، ويقال: إنه أبو موسى الأشعري، هذا الكتاب يعتبر بحق أساسًا لعلم المرافعات القضائية في العصر الحديث. </w:t>
      </w:r>
    </w:p>
    <w:p w:rsidR="00F1015F" w:rsidRPr="00F1015F" w:rsidRDefault="00F1015F" w:rsidP="00F1015F">
      <w:pPr>
        <w:pStyle w:val="a3"/>
        <w:bidi/>
        <w:spacing w:before="0" w:beforeAutospacing="0" w:after="120" w:afterAutospacing="0"/>
        <w:jc w:val="lowKashida"/>
        <w:rPr>
          <w:rFonts w:asciiTheme="majorBidi" w:hAnsiTheme="majorBidi" w:cstheme="majorBidi"/>
          <w:b/>
          <w:bCs/>
          <w:sz w:val="18"/>
          <w:szCs w:val="18"/>
        </w:rPr>
      </w:pPr>
      <w:r w:rsidRPr="00F1015F">
        <w:rPr>
          <w:rFonts w:asciiTheme="majorBidi" w:hAnsiTheme="majorBidi" w:cstheme="majorBidi"/>
          <w:b/>
          <w:bCs/>
          <w:sz w:val="18"/>
          <w:szCs w:val="18"/>
          <w:rtl/>
        </w:rPr>
        <w:t xml:space="preserve">ويجدر بنا أن نقف دقائق مع هذا الكتاب نحلل بعض ما جاء فيه، وقبل أن نذكر شيئًا من هذا الكتاب نشير إلى أن بعض الناس حاول التشكيك في ثبوت هذا الكتاب, كابن حزم في (المحلى) وفي غيره؛ لكن العلماء ردّوا عليه، وبيّنوا أن هذا الكتاب نسبته صحيحة إلى سيدنا عمر بن الخطاب </w:t>
      </w:r>
      <w:r w:rsidRPr="00F1015F">
        <w:rPr>
          <w:rFonts w:asciiTheme="majorBidi" w:hAnsiTheme="majorBidi" w:cstheme="majorBidi"/>
          <w:b/>
          <w:bCs/>
          <w:position w:val="-4"/>
          <w:sz w:val="18"/>
          <w:szCs w:val="18"/>
          <w:rtl/>
        </w:rPr>
        <w:t>&gt;</w:t>
      </w:r>
      <w:r w:rsidRPr="00F1015F">
        <w:rPr>
          <w:rFonts w:asciiTheme="majorBidi" w:hAnsiTheme="majorBidi" w:cstheme="majorBidi"/>
          <w:b/>
          <w:bCs/>
          <w:sz w:val="18"/>
          <w:szCs w:val="18"/>
          <w:rtl/>
        </w:rPr>
        <w:t>.</w:t>
      </w:r>
    </w:p>
    <w:p w:rsidR="00F1015F" w:rsidRPr="00F1015F" w:rsidRDefault="00F1015F" w:rsidP="00F1015F">
      <w:pPr>
        <w:pStyle w:val="a3"/>
        <w:bidi/>
        <w:jc w:val="lowKashida"/>
        <w:rPr>
          <w:rFonts w:asciiTheme="majorBidi" w:hAnsiTheme="majorBidi" w:cstheme="majorBidi"/>
          <w:b/>
          <w:bCs/>
          <w:color w:val="000080"/>
          <w:sz w:val="18"/>
          <w:szCs w:val="18"/>
        </w:rPr>
      </w:pPr>
      <w:r w:rsidRPr="00F1015F">
        <w:rPr>
          <w:rFonts w:asciiTheme="majorBidi" w:hAnsiTheme="majorBidi" w:cstheme="majorBidi"/>
          <w:b/>
          <w:bCs/>
          <w:color w:val="000080"/>
          <w:sz w:val="18"/>
          <w:szCs w:val="18"/>
          <w:rtl/>
        </w:rPr>
        <w:t xml:space="preserve">ونذكر الآن </w:t>
      </w:r>
      <w:proofErr w:type="gramStart"/>
      <w:r w:rsidRPr="00F1015F">
        <w:rPr>
          <w:rFonts w:asciiTheme="majorBidi" w:hAnsiTheme="majorBidi" w:cstheme="majorBidi"/>
          <w:b/>
          <w:bCs/>
          <w:color w:val="000080"/>
          <w:sz w:val="18"/>
          <w:szCs w:val="18"/>
          <w:rtl/>
        </w:rPr>
        <w:t>شيئًا</w:t>
      </w:r>
      <w:proofErr w:type="gramEnd"/>
      <w:r w:rsidRPr="00F1015F">
        <w:rPr>
          <w:rFonts w:asciiTheme="majorBidi" w:hAnsiTheme="majorBidi" w:cstheme="majorBidi"/>
          <w:b/>
          <w:bCs/>
          <w:color w:val="000080"/>
          <w:sz w:val="18"/>
          <w:szCs w:val="18"/>
          <w:rtl/>
        </w:rPr>
        <w:t xml:space="preserve"> من هذا الكتاب, في بدايته يقول: </w:t>
      </w:r>
    </w:p>
    <w:p w:rsidR="00F1015F" w:rsidRPr="00F1015F" w:rsidRDefault="00F1015F" w:rsidP="00F1015F">
      <w:pPr>
        <w:pStyle w:val="a3"/>
        <w:bidi/>
        <w:spacing w:before="0" w:beforeAutospacing="0" w:after="120" w:afterAutospacing="0"/>
        <w:jc w:val="lowKashida"/>
        <w:rPr>
          <w:rFonts w:asciiTheme="majorBidi" w:hAnsiTheme="majorBidi" w:cstheme="majorBidi"/>
          <w:b/>
          <w:bCs/>
          <w:sz w:val="18"/>
          <w:szCs w:val="18"/>
        </w:rPr>
      </w:pPr>
      <w:r w:rsidRPr="00F1015F">
        <w:rPr>
          <w:rFonts w:asciiTheme="majorBidi" w:hAnsiTheme="majorBidi" w:cstheme="majorBidi"/>
          <w:b/>
          <w:bCs/>
          <w:sz w:val="18"/>
          <w:szCs w:val="18"/>
          <w:rtl/>
        </w:rPr>
        <w:t xml:space="preserve">"بسم الله الرحمن الرحيم، من عبد الله عمر أمير المؤمنين إلى عبد الله بن قيس -يقصد أبا موسى الأشعري- سلام الله عليك، أما بعد؛ فإن القضاء فريضة محكمة وسنة متبعة، فافهم إذا أُدلي إليك؛ فإنه لا ينفع تكلم بحق لا نفاذ له، آسِ بين الناس في مجلسك -أي: سَوِّ بينهم- وفي وجهك وقضائك؛ حتى لا يطمع شريف في حيفك -أي: في ظلمك- ولا ييأس ضعيف من عدلك، البينة على المدعي واليمين على مَن أنكر, والصلح جائز بين المسلمين إلا صلحًا أحل حرامًا أو حرَّم حلالًا، ومَن ادَّعى حقًّا أو بينةً -أي: من زعم أن له حقًّا أو أن له بينةً- فاضرب له أمدًا ينتهي إليه -أي: أمهله وأجِّل الحكم في القضية إلى أن يأتي بما يزعم من بينة على الحق- فإن بينه أعطيته، وإن أعجزه ذلك استحللتَ عليه القضية -أي: حكمت عليه- فإن ذلك هو أبلغ في العذر، وأجلى للعماء -أي: فإن تأجيل وطلب البينة يوضِّح لك جانب الحق، ويجليه أمامك فتحكم به حكمًا صحيحًا- ولا يمنعك قضاء قضيتَ فيه اليوم فرجعتَ فيه رأيك، فهُديت فيه لرشدك، أن تراجع فيه الحق، فإن الحق قديم". </w:t>
      </w:r>
    </w:p>
    <w:p w:rsidR="00F1015F" w:rsidRPr="00F1015F" w:rsidRDefault="00F1015F" w:rsidP="00F1015F">
      <w:pPr>
        <w:pStyle w:val="a3"/>
        <w:bidi/>
        <w:spacing w:before="0" w:beforeAutospacing="0" w:after="120" w:afterAutospacing="0"/>
        <w:jc w:val="lowKashida"/>
        <w:rPr>
          <w:rFonts w:asciiTheme="majorBidi" w:hAnsiTheme="majorBidi" w:cstheme="majorBidi"/>
          <w:b/>
          <w:bCs/>
          <w:sz w:val="18"/>
          <w:szCs w:val="18"/>
        </w:rPr>
      </w:pPr>
      <w:proofErr w:type="gramStart"/>
      <w:r w:rsidRPr="00F1015F">
        <w:rPr>
          <w:rFonts w:asciiTheme="majorBidi" w:hAnsiTheme="majorBidi" w:cstheme="majorBidi"/>
          <w:b/>
          <w:bCs/>
          <w:sz w:val="18"/>
          <w:szCs w:val="18"/>
          <w:rtl/>
        </w:rPr>
        <w:t>معنى</w:t>
      </w:r>
      <w:proofErr w:type="gramEnd"/>
      <w:r w:rsidRPr="00F1015F">
        <w:rPr>
          <w:rFonts w:asciiTheme="majorBidi" w:hAnsiTheme="majorBidi" w:cstheme="majorBidi"/>
          <w:b/>
          <w:bCs/>
          <w:sz w:val="18"/>
          <w:szCs w:val="18"/>
          <w:rtl/>
        </w:rPr>
        <w:t xml:space="preserve"> ذلك: أنه يُوصي القُضاة بأن الواحد منهم إذا تغيَّر اجتهاده، فإن عليه أن يغير الحكم في القضايا الجديدة التي تعرض له، ويقول: "فإن الحق قديم" أي: الحق أقدم وأجدر بأن يعود إليه, وأن نحكم به.</w:t>
      </w:r>
    </w:p>
    <w:p w:rsidR="00F1015F" w:rsidRPr="00F1015F" w:rsidRDefault="00F1015F" w:rsidP="00F1015F">
      <w:pPr>
        <w:pStyle w:val="a3"/>
        <w:bidi/>
        <w:spacing w:before="0" w:beforeAutospacing="0" w:after="120" w:afterAutospacing="0"/>
        <w:jc w:val="lowKashida"/>
        <w:rPr>
          <w:rFonts w:asciiTheme="majorBidi" w:hAnsiTheme="majorBidi" w:cstheme="majorBidi"/>
          <w:b/>
          <w:bCs/>
          <w:spacing w:val="-4"/>
          <w:sz w:val="18"/>
          <w:szCs w:val="18"/>
        </w:rPr>
      </w:pPr>
      <w:proofErr w:type="gramStart"/>
      <w:r w:rsidRPr="00F1015F">
        <w:rPr>
          <w:rFonts w:asciiTheme="majorBidi" w:hAnsiTheme="majorBidi" w:cstheme="majorBidi"/>
          <w:b/>
          <w:bCs/>
          <w:spacing w:val="-4"/>
          <w:sz w:val="18"/>
          <w:szCs w:val="18"/>
          <w:rtl/>
        </w:rPr>
        <w:t>ثم</w:t>
      </w:r>
      <w:proofErr w:type="gramEnd"/>
      <w:r w:rsidRPr="00F1015F">
        <w:rPr>
          <w:rFonts w:asciiTheme="majorBidi" w:hAnsiTheme="majorBidi" w:cstheme="majorBidi"/>
          <w:b/>
          <w:bCs/>
          <w:spacing w:val="-4"/>
          <w:sz w:val="18"/>
          <w:szCs w:val="18"/>
          <w:rtl/>
        </w:rPr>
        <w:t xml:space="preserve"> يستمر فيقول: "ومراجعة الحق خيرٌ من التمادي في الباطل، والمسلمون عدول بعضهم على بعض", أي: إن المسلمين جميعًا تُقبل شهادتهم على بعض، فالمسلم يشهد على المسلم، وأن الأصل في الظاهر أن جميع المسلمين عُدول تُقبل شهادتهم. </w:t>
      </w:r>
    </w:p>
    <w:p w:rsidR="00F1015F" w:rsidRPr="00F1015F" w:rsidRDefault="00F1015F" w:rsidP="00F1015F">
      <w:pPr>
        <w:pStyle w:val="a3"/>
        <w:bidi/>
        <w:spacing w:before="0" w:beforeAutospacing="0" w:after="120" w:afterAutospacing="0"/>
        <w:jc w:val="lowKashida"/>
        <w:rPr>
          <w:rFonts w:asciiTheme="majorBidi" w:hAnsiTheme="majorBidi" w:cstheme="majorBidi"/>
          <w:b/>
          <w:bCs/>
          <w:sz w:val="18"/>
          <w:szCs w:val="18"/>
        </w:rPr>
      </w:pPr>
      <w:r w:rsidRPr="00F1015F">
        <w:rPr>
          <w:rFonts w:asciiTheme="majorBidi" w:hAnsiTheme="majorBidi" w:cstheme="majorBidi"/>
          <w:b/>
          <w:bCs/>
          <w:sz w:val="18"/>
          <w:szCs w:val="18"/>
          <w:rtl/>
        </w:rPr>
        <w:t xml:space="preserve">"إلا مجربًا عليه شهادة زور، أو مجلودًا في حدّ، أو ظنينًا في ولاء أو قرابة", أي: إنه لا يقبل في الشهادة مَن جُرّب عليه أنه يشهد زورًا، أو كان فاسقًا جُلد في حد من الحدود؛ حد الزنا، أو حد القذف، لأنه فاسق، أو كان متهمًا في ولاء أو قرابة، فيشهد لقريبه، أو من له الولاء عليه، ففي هذه الحالة لا يقبل شهادته. </w:t>
      </w:r>
    </w:p>
    <w:p w:rsidR="00F1015F" w:rsidRPr="00F1015F" w:rsidRDefault="00F1015F" w:rsidP="00F1015F">
      <w:pPr>
        <w:pStyle w:val="a3"/>
        <w:bidi/>
        <w:spacing w:before="0" w:beforeAutospacing="0" w:after="120" w:afterAutospacing="0"/>
        <w:jc w:val="lowKashida"/>
        <w:rPr>
          <w:rFonts w:asciiTheme="majorBidi" w:hAnsiTheme="majorBidi" w:cstheme="majorBidi"/>
          <w:b/>
          <w:bCs/>
          <w:sz w:val="18"/>
          <w:szCs w:val="18"/>
        </w:rPr>
      </w:pPr>
      <w:r w:rsidRPr="00F1015F">
        <w:rPr>
          <w:rFonts w:asciiTheme="majorBidi" w:hAnsiTheme="majorBidi" w:cstheme="majorBidi"/>
          <w:b/>
          <w:bCs/>
          <w:sz w:val="18"/>
          <w:szCs w:val="18"/>
          <w:rtl/>
        </w:rPr>
        <w:lastRenderedPageBreak/>
        <w:t>ثم يستمر، فيقول: "فالله تعالى تولى من العباد السرائرَ، وستر عليهم الحدودَ إلا بالبينات والأيمان", وهذا واضح جدًّا أنه يأمر القاضي بأن يأخذ من الناس ظواهرهم، وأن يكل أمر باطنهم إلى الله، فمن كان معروفًا بشهادة الزور، أو كان مجلودًا في حد، أو كان متهمًا في الشهادة لمن يشهد له بسبب القرابة، هذا يمنع من الشهادة، لكن غيره تُقبل شهادته على الظاهر حسب البينات المطلوبة، أو الأيمان المطلوبة.</w:t>
      </w:r>
    </w:p>
    <w:p w:rsidR="00F1015F" w:rsidRPr="00F1015F" w:rsidRDefault="00F1015F" w:rsidP="00F1015F">
      <w:pPr>
        <w:pStyle w:val="a3"/>
        <w:bidi/>
        <w:spacing w:before="0" w:beforeAutospacing="0" w:after="120" w:afterAutospacing="0"/>
        <w:jc w:val="lowKashida"/>
        <w:rPr>
          <w:rFonts w:asciiTheme="majorBidi" w:hAnsiTheme="majorBidi" w:cstheme="majorBidi"/>
          <w:b/>
          <w:bCs/>
          <w:sz w:val="18"/>
          <w:szCs w:val="18"/>
        </w:rPr>
      </w:pPr>
      <w:r w:rsidRPr="00F1015F">
        <w:rPr>
          <w:rFonts w:asciiTheme="majorBidi" w:hAnsiTheme="majorBidi" w:cstheme="majorBidi"/>
          <w:b/>
          <w:bCs/>
          <w:sz w:val="18"/>
          <w:szCs w:val="18"/>
          <w:rtl/>
        </w:rPr>
        <w:t xml:space="preserve">ثم يستمر فيقول: "ثم الفهمَ الفهمَ فيما أدلي إليك, وفيما ورد عليك مما ليس في قرآن ولا سنة"، أي: إذا كان فيه قرآن أو سنة فالأمر بسيط، فستحكم بما جاء في القرآن أو في السنة، لكن إذا كانت القضية المعروضة ليس فيها قرآن ولا سنة </w:t>
      </w:r>
      <w:r w:rsidRPr="00F1015F">
        <w:rPr>
          <w:rFonts w:asciiTheme="majorBidi" w:hAnsiTheme="majorBidi" w:cstheme="majorBidi"/>
          <w:b/>
          <w:bCs/>
          <w:sz w:val="18"/>
          <w:szCs w:val="18"/>
          <w:rtl/>
          <w:lang w:bidi="ar-EG"/>
        </w:rPr>
        <w:t>ف</w:t>
      </w:r>
      <w:r w:rsidRPr="00F1015F">
        <w:rPr>
          <w:rFonts w:asciiTheme="majorBidi" w:hAnsiTheme="majorBidi" w:cstheme="majorBidi"/>
          <w:b/>
          <w:bCs/>
          <w:sz w:val="18"/>
          <w:szCs w:val="18"/>
          <w:rtl/>
        </w:rPr>
        <w:t>هو يطلب من القاضي أن يتريث، وأن يفهم وأن يشاور.</w:t>
      </w:r>
    </w:p>
    <w:p w:rsidR="00F1015F" w:rsidRPr="00F1015F" w:rsidRDefault="00F1015F" w:rsidP="00F1015F">
      <w:pPr>
        <w:pStyle w:val="a3"/>
        <w:bidi/>
        <w:spacing w:before="0" w:beforeAutospacing="0" w:after="120" w:afterAutospacing="0"/>
        <w:jc w:val="lowKashida"/>
        <w:rPr>
          <w:rFonts w:asciiTheme="majorBidi" w:hAnsiTheme="majorBidi" w:cstheme="majorBidi"/>
          <w:b/>
          <w:bCs/>
          <w:sz w:val="18"/>
          <w:szCs w:val="18"/>
          <w:rtl/>
        </w:rPr>
      </w:pPr>
      <w:r w:rsidRPr="00F1015F">
        <w:rPr>
          <w:rFonts w:asciiTheme="majorBidi" w:hAnsiTheme="majorBidi" w:cstheme="majorBidi"/>
          <w:b/>
          <w:bCs/>
          <w:sz w:val="18"/>
          <w:szCs w:val="18"/>
          <w:rtl/>
        </w:rPr>
        <w:t>"</w:t>
      </w:r>
      <w:proofErr w:type="gramStart"/>
      <w:r w:rsidRPr="00F1015F">
        <w:rPr>
          <w:rFonts w:asciiTheme="majorBidi" w:hAnsiTheme="majorBidi" w:cstheme="majorBidi"/>
          <w:b/>
          <w:bCs/>
          <w:sz w:val="18"/>
          <w:szCs w:val="18"/>
          <w:rtl/>
        </w:rPr>
        <w:t>ثم</w:t>
      </w:r>
      <w:proofErr w:type="gramEnd"/>
      <w:r w:rsidRPr="00F1015F">
        <w:rPr>
          <w:rFonts w:asciiTheme="majorBidi" w:hAnsiTheme="majorBidi" w:cstheme="majorBidi"/>
          <w:b/>
          <w:bCs/>
          <w:sz w:val="18"/>
          <w:szCs w:val="18"/>
          <w:rtl/>
        </w:rPr>
        <w:t xml:space="preserve"> قايس الأمورَ عند ذلك واعرف الأمثال", أي: يطلب منه القياسَ على ما جاء في الكتاب وعلى ما جاء في السنة، فإن الشرع الشريف لا يفرق بين المتشابهات، ولا يجمع بين المتفرقات.</w:t>
      </w:r>
    </w:p>
    <w:p w:rsidR="00F1015F" w:rsidRPr="00F1015F" w:rsidRDefault="00F1015F" w:rsidP="00F1015F">
      <w:pPr>
        <w:pStyle w:val="a3"/>
        <w:bidi/>
        <w:spacing w:before="0" w:beforeAutospacing="0" w:after="120" w:afterAutospacing="0"/>
        <w:jc w:val="lowKashida"/>
        <w:rPr>
          <w:rFonts w:asciiTheme="majorBidi" w:hAnsiTheme="majorBidi" w:cstheme="majorBidi"/>
          <w:b/>
          <w:bCs/>
          <w:sz w:val="18"/>
          <w:szCs w:val="18"/>
        </w:rPr>
      </w:pPr>
      <w:proofErr w:type="gramStart"/>
      <w:r w:rsidRPr="00F1015F">
        <w:rPr>
          <w:rFonts w:asciiTheme="majorBidi" w:hAnsiTheme="majorBidi" w:cstheme="majorBidi"/>
          <w:b/>
          <w:bCs/>
          <w:sz w:val="18"/>
          <w:szCs w:val="18"/>
          <w:rtl/>
        </w:rPr>
        <w:t>ثم</w:t>
      </w:r>
      <w:proofErr w:type="gramEnd"/>
      <w:r w:rsidRPr="00F1015F">
        <w:rPr>
          <w:rFonts w:asciiTheme="majorBidi" w:hAnsiTheme="majorBidi" w:cstheme="majorBidi"/>
          <w:b/>
          <w:bCs/>
          <w:sz w:val="18"/>
          <w:szCs w:val="18"/>
          <w:rtl/>
        </w:rPr>
        <w:t xml:space="preserve"> يستمر فيقول: "ثم اعمد فيما ترى إلى أحبها إلى الله", أي: إذا اشتبهت عليك الأمور وتعددت وجوه الشبه، اختر أحبها إلى الله حسب اجتهادك، وأشبهها بالحق. </w:t>
      </w:r>
    </w:p>
    <w:p w:rsidR="00F1015F" w:rsidRPr="00F1015F" w:rsidRDefault="00F1015F" w:rsidP="00F1015F">
      <w:pPr>
        <w:pStyle w:val="a3"/>
        <w:bidi/>
        <w:spacing w:before="0" w:beforeAutospacing="0" w:after="120" w:afterAutospacing="0"/>
        <w:jc w:val="lowKashida"/>
        <w:rPr>
          <w:rFonts w:asciiTheme="majorBidi" w:hAnsiTheme="majorBidi" w:cstheme="majorBidi"/>
          <w:b/>
          <w:bCs/>
          <w:sz w:val="18"/>
          <w:szCs w:val="18"/>
        </w:rPr>
      </w:pPr>
      <w:r w:rsidRPr="00F1015F">
        <w:rPr>
          <w:rFonts w:asciiTheme="majorBidi" w:hAnsiTheme="majorBidi" w:cstheme="majorBidi"/>
          <w:b/>
          <w:bCs/>
          <w:sz w:val="18"/>
          <w:szCs w:val="18"/>
          <w:rtl/>
        </w:rPr>
        <w:t xml:space="preserve">ثم يقول: "وإياك والغضب والقلقَ والضجر والتأذّي بالناس، والنكر عند الخصومة", أي: يوصي القاضي بأمور قد تشغله عن الوصول للعدل، فيحذره من الغضب والقلق والضجر والملل من الناس، إذا كان هناك ما يشغله فلا يقضي حتى يفرّغ نفسه تمامًا للحكم. </w:t>
      </w:r>
    </w:p>
    <w:p w:rsidR="00F1015F" w:rsidRPr="00F1015F" w:rsidRDefault="00F1015F" w:rsidP="00F1015F">
      <w:pPr>
        <w:pStyle w:val="a3"/>
        <w:bidi/>
        <w:spacing w:before="0" w:beforeAutospacing="0" w:after="120" w:afterAutospacing="0"/>
        <w:jc w:val="lowKashida"/>
        <w:rPr>
          <w:rFonts w:asciiTheme="majorBidi" w:hAnsiTheme="majorBidi" w:cstheme="majorBidi"/>
          <w:b/>
          <w:bCs/>
          <w:spacing w:val="-6"/>
          <w:sz w:val="18"/>
          <w:szCs w:val="18"/>
        </w:rPr>
      </w:pPr>
      <w:r w:rsidRPr="00F1015F">
        <w:rPr>
          <w:rFonts w:asciiTheme="majorBidi" w:hAnsiTheme="majorBidi" w:cstheme="majorBidi"/>
          <w:b/>
          <w:bCs/>
          <w:spacing w:val="-6"/>
          <w:sz w:val="18"/>
          <w:szCs w:val="18"/>
          <w:rtl/>
        </w:rPr>
        <w:t xml:space="preserve">ثم يقول: "فإن القضاء في مواطن الحق مما يوجب الله به الأجر، ويحسن به الذخر، فمتى خلصت النية في الحق ولو على نفسه؛ كفاه الله ما بينه وبين الناس، ومَن تزين بما ليس في نفسه شانه الله؛ فإن الله تعالى لا يقبل من العباد إلا ما كان خالصًا", أي: يوصيه بالإخلاص لله </w:t>
      </w:r>
      <w:r w:rsidRPr="00F1015F">
        <w:rPr>
          <w:rFonts w:asciiTheme="majorBidi" w:hAnsiTheme="majorBidi" w:cstheme="majorBidi"/>
          <w:b/>
          <w:bCs/>
          <w:spacing w:val="-6"/>
          <w:position w:val="-4"/>
          <w:sz w:val="18"/>
          <w:szCs w:val="18"/>
        </w:rPr>
        <w:t></w:t>
      </w:r>
      <w:r w:rsidRPr="00F1015F">
        <w:rPr>
          <w:rFonts w:asciiTheme="majorBidi" w:hAnsiTheme="majorBidi" w:cstheme="majorBidi"/>
          <w:b/>
          <w:bCs/>
          <w:spacing w:val="-6"/>
          <w:sz w:val="18"/>
          <w:szCs w:val="18"/>
          <w:rtl/>
        </w:rPr>
        <w:t xml:space="preserve"> ويوصيه بمراقبة الله، وألّا يخشى لومة لائم، فعليه أن يتحرى الحق وأن يحكم به، ثم يعده بثواب الله </w:t>
      </w:r>
      <w:r w:rsidRPr="00F1015F">
        <w:rPr>
          <w:rFonts w:asciiTheme="majorBidi" w:hAnsiTheme="majorBidi" w:cstheme="majorBidi"/>
          <w:b/>
          <w:bCs/>
          <w:spacing w:val="-6"/>
          <w:position w:val="-4"/>
          <w:sz w:val="18"/>
          <w:szCs w:val="18"/>
        </w:rPr>
        <w:t></w:t>
      </w:r>
      <w:r w:rsidRPr="00F1015F">
        <w:rPr>
          <w:rFonts w:asciiTheme="majorBidi" w:hAnsiTheme="majorBidi" w:cstheme="majorBidi"/>
          <w:b/>
          <w:bCs/>
          <w:spacing w:val="-6"/>
          <w:sz w:val="18"/>
          <w:szCs w:val="18"/>
          <w:rtl/>
        </w:rPr>
        <w:t xml:space="preserve"> والذكر الحسن في الدنيا والآخرة. ويختم خطابه بقوله: "فما ظنك بثواب عند الله في عاجل رزقه وخزائن رحمته، والسلام عليكم ورحمة الله وبركاته", ويُنهي سيدنا عمر خطابه هذا.</w:t>
      </w:r>
    </w:p>
    <w:p w:rsidR="00F1015F" w:rsidRPr="00F1015F" w:rsidRDefault="00F1015F" w:rsidP="00F1015F">
      <w:pPr>
        <w:pStyle w:val="a3"/>
        <w:bidi/>
        <w:spacing w:before="0" w:beforeAutospacing="0" w:after="120" w:afterAutospacing="0"/>
        <w:jc w:val="lowKashida"/>
        <w:rPr>
          <w:rFonts w:asciiTheme="majorBidi" w:hAnsiTheme="majorBidi" w:cstheme="majorBidi"/>
          <w:b/>
          <w:bCs/>
          <w:sz w:val="18"/>
          <w:szCs w:val="18"/>
        </w:rPr>
      </w:pPr>
      <w:r w:rsidRPr="00F1015F">
        <w:rPr>
          <w:rFonts w:asciiTheme="majorBidi" w:hAnsiTheme="majorBidi" w:cstheme="majorBidi"/>
          <w:b/>
          <w:bCs/>
          <w:sz w:val="18"/>
          <w:szCs w:val="18"/>
          <w:rtl/>
        </w:rPr>
        <w:t>يقول بعض العلماء: إنه أرسله إلى أبي موسى، ويقول غيرهم: إنه أرسله إلى واليه على الكوفة شريح، ونسبته إلى عمر في كل الأحوال صحيحة إسنادًا ومتنًا أيضًا، ولا عبرةَ بما أثاره الظاهرية حوله من شكوك وأوهام، فقد أنكروه لإنكارهم القياس، وأنكروا مع ذلك السندَ؛ وعليه جعلوا الرسالة مكذوبة على عمر، وهذا غير صحيح.</w:t>
      </w:r>
    </w:p>
    <w:p w:rsidR="00F1015F" w:rsidRPr="00F1015F" w:rsidRDefault="00F1015F" w:rsidP="00F1015F">
      <w:pPr>
        <w:pStyle w:val="a3"/>
        <w:bidi/>
        <w:spacing w:before="0" w:beforeAutospacing="0" w:after="120" w:afterAutospacing="0"/>
        <w:jc w:val="lowKashida"/>
        <w:rPr>
          <w:rFonts w:asciiTheme="majorBidi" w:hAnsiTheme="majorBidi" w:cstheme="majorBidi"/>
          <w:b/>
          <w:bCs/>
          <w:sz w:val="18"/>
          <w:szCs w:val="18"/>
          <w:rtl/>
        </w:rPr>
      </w:pPr>
      <w:r w:rsidRPr="00F1015F">
        <w:rPr>
          <w:rFonts w:asciiTheme="majorBidi" w:hAnsiTheme="majorBidi" w:cstheme="majorBidi"/>
          <w:b/>
          <w:bCs/>
          <w:sz w:val="18"/>
          <w:szCs w:val="18"/>
          <w:rtl/>
        </w:rPr>
        <w:t xml:space="preserve">فقد ردَّ عليهم أهل العلم، والحمد لله على أي حال، فكونه أرسل إلى أبي موسى أو إلى والي </w:t>
      </w:r>
      <w:r w:rsidRPr="00F1015F">
        <w:rPr>
          <w:rFonts w:asciiTheme="majorBidi" w:hAnsiTheme="majorBidi" w:cstheme="majorBidi"/>
          <w:b/>
          <w:bCs/>
          <w:sz w:val="18"/>
          <w:szCs w:val="18"/>
          <w:rtl/>
          <w:lang w:bidi="ar-EG"/>
        </w:rPr>
        <w:t>الكوفة</w:t>
      </w:r>
      <w:r w:rsidRPr="00F1015F">
        <w:rPr>
          <w:rFonts w:asciiTheme="majorBidi" w:hAnsiTheme="majorBidi" w:cstheme="majorBidi"/>
          <w:b/>
          <w:bCs/>
          <w:sz w:val="18"/>
          <w:szCs w:val="18"/>
          <w:rtl/>
        </w:rPr>
        <w:t>، لا يمنع أن يكون هناك احتمال أنه أرسله مرةً إلى أحدهما وأرسله مرةً إلى آخر، أو أرسل بعضه إلى أحدهما وأرسله كاملًا إلى الآخر.</w:t>
      </w:r>
    </w:p>
    <w:p w:rsidR="00F1015F" w:rsidRPr="00F1015F" w:rsidRDefault="00F1015F" w:rsidP="00F1015F">
      <w:pPr>
        <w:spacing w:line="240" w:lineRule="auto"/>
        <w:jc w:val="center"/>
        <w:rPr>
          <w:rFonts w:asciiTheme="majorBidi" w:hAnsiTheme="majorBidi" w:cstheme="majorBidi"/>
          <w:b/>
          <w:bCs/>
          <w:sz w:val="18"/>
          <w:szCs w:val="18"/>
          <w:rtl/>
          <w:lang w:bidi="ar-EG"/>
        </w:rPr>
      </w:pPr>
      <w:proofErr w:type="gramStart"/>
      <w:r w:rsidRPr="00F1015F">
        <w:rPr>
          <w:rFonts w:asciiTheme="majorBidi" w:hAnsiTheme="majorBidi" w:cstheme="majorBidi"/>
          <w:b/>
          <w:bCs/>
          <w:sz w:val="18"/>
          <w:szCs w:val="18"/>
          <w:rtl/>
          <w:lang w:bidi="ar-EG"/>
        </w:rPr>
        <w:t>المراجع</w:t>
      </w:r>
      <w:proofErr w:type="gramEnd"/>
      <w:r w:rsidRPr="00F1015F">
        <w:rPr>
          <w:rFonts w:asciiTheme="majorBidi" w:hAnsiTheme="majorBidi" w:cstheme="majorBidi"/>
          <w:b/>
          <w:bCs/>
          <w:sz w:val="18"/>
          <w:szCs w:val="18"/>
          <w:rtl/>
          <w:lang w:bidi="ar-EG"/>
        </w:rPr>
        <w:t xml:space="preserve"> والمصادر</w:t>
      </w:r>
    </w:p>
    <w:p w:rsidR="00F1015F" w:rsidRPr="00F1015F" w:rsidRDefault="00F1015F" w:rsidP="00F1015F">
      <w:pPr>
        <w:numPr>
          <w:ilvl w:val="0"/>
          <w:numId w:val="3"/>
        </w:numPr>
        <w:spacing w:after="120" w:line="240" w:lineRule="auto"/>
        <w:jc w:val="lowKashida"/>
        <w:rPr>
          <w:rFonts w:asciiTheme="majorBidi" w:hAnsiTheme="majorBidi" w:cstheme="majorBidi"/>
          <w:b/>
          <w:bCs/>
          <w:sz w:val="18"/>
          <w:szCs w:val="18"/>
          <w:rtl/>
        </w:rPr>
      </w:pPr>
      <w:r w:rsidRPr="00F1015F">
        <w:rPr>
          <w:rFonts w:asciiTheme="majorBidi" w:hAnsiTheme="majorBidi" w:cstheme="majorBidi"/>
          <w:b/>
          <w:bCs/>
          <w:sz w:val="18"/>
          <w:szCs w:val="18"/>
          <w:rtl/>
        </w:rPr>
        <w:lastRenderedPageBreak/>
        <w:t>واصل، نصر فريد واصل،  (السلطة القضائية ونظام القضاء في الإسلام) ، المكتبة التوفيقية، 1987م.</w:t>
      </w:r>
    </w:p>
    <w:p w:rsidR="00F1015F" w:rsidRPr="00F1015F" w:rsidRDefault="00F1015F" w:rsidP="00F1015F">
      <w:pPr>
        <w:numPr>
          <w:ilvl w:val="0"/>
          <w:numId w:val="3"/>
        </w:numPr>
        <w:spacing w:after="120" w:line="240" w:lineRule="auto"/>
        <w:jc w:val="lowKashida"/>
        <w:rPr>
          <w:rFonts w:asciiTheme="majorBidi" w:hAnsiTheme="majorBidi" w:cstheme="majorBidi"/>
          <w:b/>
          <w:bCs/>
          <w:sz w:val="18"/>
          <w:szCs w:val="18"/>
          <w:rtl/>
        </w:rPr>
      </w:pPr>
      <w:r w:rsidRPr="00F1015F">
        <w:rPr>
          <w:rFonts w:asciiTheme="majorBidi" w:hAnsiTheme="majorBidi" w:cstheme="majorBidi"/>
          <w:b/>
          <w:bCs/>
          <w:sz w:val="18"/>
          <w:szCs w:val="18"/>
          <w:rtl/>
        </w:rPr>
        <w:t xml:space="preserve">عثمان، محمد رأفت عثمان،  (النظام القضائي في الفقه </w:t>
      </w:r>
      <w:proofErr w:type="gramStart"/>
      <w:r w:rsidRPr="00F1015F">
        <w:rPr>
          <w:rFonts w:asciiTheme="majorBidi" w:hAnsiTheme="majorBidi" w:cstheme="majorBidi"/>
          <w:b/>
          <w:bCs/>
          <w:sz w:val="18"/>
          <w:szCs w:val="18"/>
          <w:rtl/>
        </w:rPr>
        <w:t>الإسلامي) ،</w:t>
      </w:r>
      <w:proofErr w:type="gramEnd"/>
      <w:r w:rsidRPr="00F1015F">
        <w:rPr>
          <w:rFonts w:asciiTheme="majorBidi" w:hAnsiTheme="majorBidi" w:cstheme="majorBidi"/>
          <w:b/>
          <w:bCs/>
          <w:sz w:val="18"/>
          <w:szCs w:val="18"/>
          <w:rtl/>
        </w:rPr>
        <w:t xml:space="preserve"> القاهرة، دار البيان، 1994م.</w:t>
      </w:r>
    </w:p>
    <w:p w:rsidR="00F1015F" w:rsidRPr="00F1015F" w:rsidRDefault="00F1015F" w:rsidP="00F1015F">
      <w:pPr>
        <w:numPr>
          <w:ilvl w:val="0"/>
          <w:numId w:val="3"/>
        </w:numPr>
        <w:spacing w:after="120" w:line="240" w:lineRule="auto"/>
        <w:jc w:val="lowKashida"/>
        <w:rPr>
          <w:rFonts w:asciiTheme="majorBidi" w:hAnsiTheme="majorBidi" w:cstheme="majorBidi"/>
          <w:b/>
          <w:bCs/>
          <w:sz w:val="18"/>
          <w:szCs w:val="18"/>
          <w:rtl/>
        </w:rPr>
      </w:pPr>
      <w:r w:rsidRPr="00F1015F">
        <w:rPr>
          <w:rFonts w:asciiTheme="majorBidi" w:hAnsiTheme="majorBidi" w:cstheme="majorBidi"/>
          <w:b/>
          <w:bCs/>
          <w:sz w:val="18"/>
          <w:szCs w:val="18"/>
          <w:rtl/>
          <w:lang w:bidi="ar-EG"/>
        </w:rPr>
        <w:t xml:space="preserve">عزام، عبد العزيز عزام،  </w:t>
      </w:r>
      <w:r w:rsidRPr="00F1015F">
        <w:rPr>
          <w:rFonts w:asciiTheme="majorBidi" w:hAnsiTheme="majorBidi" w:cstheme="majorBidi"/>
          <w:b/>
          <w:bCs/>
          <w:sz w:val="18"/>
          <w:szCs w:val="18"/>
          <w:rtl/>
        </w:rPr>
        <w:t xml:space="preserve">(القضاء في </w:t>
      </w:r>
      <w:proofErr w:type="gramStart"/>
      <w:r w:rsidRPr="00F1015F">
        <w:rPr>
          <w:rFonts w:asciiTheme="majorBidi" w:hAnsiTheme="majorBidi" w:cstheme="majorBidi"/>
          <w:b/>
          <w:bCs/>
          <w:sz w:val="18"/>
          <w:szCs w:val="18"/>
          <w:rtl/>
        </w:rPr>
        <w:t xml:space="preserve">الإسلام) </w:t>
      </w:r>
      <w:r w:rsidRPr="00F1015F">
        <w:rPr>
          <w:rFonts w:asciiTheme="majorBidi" w:hAnsiTheme="majorBidi" w:cstheme="majorBidi"/>
          <w:b/>
          <w:bCs/>
          <w:sz w:val="18"/>
          <w:szCs w:val="18"/>
          <w:rtl/>
          <w:lang w:bidi="ar-EG"/>
        </w:rPr>
        <w:t>،</w:t>
      </w:r>
      <w:proofErr w:type="gramEnd"/>
      <w:r w:rsidRPr="00F1015F">
        <w:rPr>
          <w:rFonts w:asciiTheme="majorBidi" w:hAnsiTheme="majorBidi" w:cstheme="majorBidi"/>
          <w:b/>
          <w:bCs/>
          <w:sz w:val="18"/>
          <w:szCs w:val="18"/>
          <w:rtl/>
          <w:lang w:bidi="ar-EG"/>
        </w:rPr>
        <w:t xml:space="preserve"> دار الكتاب الجامعي، 1977م.</w:t>
      </w:r>
    </w:p>
    <w:p w:rsidR="00F1015F" w:rsidRPr="00F1015F" w:rsidRDefault="00F1015F" w:rsidP="00170D5C">
      <w:pPr>
        <w:numPr>
          <w:ilvl w:val="0"/>
          <w:numId w:val="3"/>
        </w:numPr>
        <w:spacing w:after="120" w:line="240" w:lineRule="auto"/>
        <w:jc w:val="lowKashida"/>
        <w:rPr>
          <w:rFonts w:asciiTheme="majorBidi" w:hAnsiTheme="majorBidi" w:cstheme="majorBidi"/>
          <w:b/>
          <w:bCs/>
          <w:sz w:val="18"/>
          <w:szCs w:val="18"/>
          <w:rtl/>
        </w:rPr>
      </w:pPr>
      <w:r w:rsidRPr="00F1015F">
        <w:rPr>
          <w:rFonts w:asciiTheme="majorBidi" w:hAnsiTheme="majorBidi" w:cstheme="majorBidi"/>
          <w:b/>
          <w:bCs/>
          <w:sz w:val="18"/>
          <w:szCs w:val="18"/>
          <w:rtl/>
          <w:lang w:bidi="ar-EG"/>
        </w:rPr>
        <w:t xml:space="preserve">المالكي، عبد الله محمد بن فرج المالكي، تحقيق وتعليق: قاسم الشماعي،  </w:t>
      </w:r>
      <w:r w:rsidRPr="00F1015F">
        <w:rPr>
          <w:rFonts w:asciiTheme="majorBidi" w:hAnsiTheme="majorBidi" w:cstheme="majorBidi"/>
          <w:b/>
          <w:bCs/>
          <w:sz w:val="18"/>
          <w:szCs w:val="18"/>
          <w:rtl/>
        </w:rPr>
        <w:t xml:space="preserve">(أقضية رسول الله) </w:t>
      </w:r>
      <w:r w:rsidRPr="00F1015F">
        <w:rPr>
          <w:rFonts w:asciiTheme="majorBidi" w:hAnsiTheme="majorBidi" w:cstheme="majorBidi"/>
          <w:b/>
          <w:bCs/>
          <w:sz w:val="18"/>
          <w:szCs w:val="18"/>
          <w:rtl/>
          <w:lang w:bidi="ar-EG"/>
        </w:rPr>
        <w:t>، بيروت، دار القلم، 1987م.</w:t>
      </w:r>
    </w:p>
    <w:p w:rsidR="00F1015F" w:rsidRPr="00F1015F" w:rsidRDefault="00F1015F" w:rsidP="00F1015F">
      <w:pPr>
        <w:numPr>
          <w:ilvl w:val="0"/>
          <w:numId w:val="3"/>
        </w:numPr>
        <w:spacing w:after="120" w:line="240" w:lineRule="auto"/>
        <w:jc w:val="lowKashida"/>
        <w:rPr>
          <w:rFonts w:asciiTheme="majorBidi" w:hAnsiTheme="majorBidi" w:cstheme="majorBidi"/>
          <w:b/>
          <w:bCs/>
          <w:sz w:val="18"/>
          <w:szCs w:val="18"/>
          <w:rtl/>
        </w:rPr>
      </w:pPr>
      <w:r w:rsidRPr="00F1015F">
        <w:rPr>
          <w:rFonts w:asciiTheme="majorBidi" w:hAnsiTheme="majorBidi" w:cstheme="majorBidi"/>
          <w:b/>
          <w:bCs/>
          <w:sz w:val="18"/>
          <w:szCs w:val="18"/>
          <w:rtl/>
          <w:lang w:bidi="ar-EG"/>
        </w:rPr>
        <w:t xml:space="preserve">اليعمري، ابن فرحون برهان الدين اليعمري،  </w:t>
      </w:r>
      <w:r w:rsidRPr="00F1015F">
        <w:rPr>
          <w:rFonts w:asciiTheme="majorBidi" w:hAnsiTheme="majorBidi" w:cstheme="majorBidi"/>
          <w:b/>
          <w:bCs/>
          <w:sz w:val="18"/>
          <w:szCs w:val="18"/>
          <w:rtl/>
        </w:rPr>
        <w:t>(تبصرة الحكام في أصول الأ</w:t>
      </w:r>
      <w:r w:rsidRPr="00F1015F">
        <w:rPr>
          <w:rFonts w:asciiTheme="majorBidi" w:hAnsiTheme="majorBidi" w:cstheme="majorBidi"/>
          <w:b/>
          <w:bCs/>
          <w:sz w:val="18"/>
          <w:szCs w:val="18"/>
          <w:rtl/>
          <w:lang w:bidi="ar-EG"/>
        </w:rPr>
        <w:t>ق</w:t>
      </w:r>
      <w:r w:rsidRPr="00F1015F">
        <w:rPr>
          <w:rFonts w:asciiTheme="majorBidi" w:hAnsiTheme="majorBidi" w:cstheme="majorBidi"/>
          <w:b/>
          <w:bCs/>
          <w:sz w:val="18"/>
          <w:szCs w:val="18"/>
          <w:rtl/>
        </w:rPr>
        <w:t xml:space="preserve">ضية ومناهج الأحكام) </w:t>
      </w:r>
      <w:r w:rsidRPr="00F1015F">
        <w:rPr>
          <w:rFonts w:asciiTheme="majorBidi" w:hAnsiTheme="majorBidi" w:cstheme="majorBidi"/>
          <w:b/>
          <w:bCs/>
          <w:sz w:val="18"/>
          <w:szCs w:val="18"/>
          <w:rtl/>
          <w:lang w:bidi="ar-EG"/>
        </w:rPr>
        <w:t>، طبعة دار الكتب العلمية، 2003م.</w:t>
      </w:r>
    </w:p>
    <w:p w:rsidR="00F1015F" w:rsidRPr="00F1015F" w:rsidRDefault="00F1015F" w:rsidP="00F1015F">
      <w:pPr>
        <w:numPr>
          <w:ilvl w:val="0"/>
          <w:numId w:val="3"/>
        </w:numPr>
        <w:spacing w:after="120" w:line="240" w:lineRule="auto"/>
        <w:jc w:val="lowKashida"/>
        <w:rPr>
          <w:rFonts w:asciiTheme="majorBidi" w:hAnsiTheme="majorBidi" w:cstheme="majorBidi"/>
          <w:b/>
          <w:bCs/>
          <w:sz w:val="18"/>
          <w:szCs w:val="18"/>
          <w:rtl/>
        </w:rPr>
      </w:pPr>
      <w:r w:rsidRPr="00F1015F">
        <w:rPr>
          <w:rFonts w:asciiTheme="majorBidi" w:hAnsiTheme="majorBidi" w:cstheme="majorBidi"/>
          <w:b/>
          <w:bCs/>
          <w:sz w:val="18"/>
          <w:szCs w:val="18"/>
          <w:rtl/>
          <w:lang w:bidi="ar-EG"/>
        </w:rPr>
        <w:t>العريفي</w:t>
      </w:r>
      <w:r w:rsidRPr="00F1015F">
        <w:rPr>
          <w:rFonts w:asciiTheme="majorBidi" w:hAnsiTheme="majorBidi" w:cstheme="majorBidi"/>
          <w:b/>
          <w:bCs/>
          <w:sz w:val="18"/>
          <w:szCs w:val="18"/>
          <w:rtl/>
        </w:rPr>
        <w:t xml:space="preserve"> </w:t>
      </w:r>
      <w:r w:rsidRPr="00F1015F">
        <w:rPr>
          <w:rFonts w:asciiTheme="majorBidi" w:hAnsiTheme="majorBidi" w:cstheme="majorBidi"/>
          <w:b/>
          <w:bCs/>
          <w:sz w:val="18"/>
          <w:szCs w:val="18"/>
          <w:rtl/>
          <w:lang w:bidi="ar-EG"/>
        </w:rPr>
        <w:t xml:space="preserve">، سعد بن عبد الله العريفي، </w:t>
      </w:r>
      <w:r w:rsidRPr="00F1015F">
        <w:rPr>
          <w:rFonts w:asciiTheme="majorBidi" w:hAnsiTheme="majorBidi" w:cstheme="majorBidi"/>
          <w:b/>
          <w:bCs/>
          <w:sz w:val="18"/>
          <w:szCs w:val="18"/>
          <w:rtl/>
        </w:rPr>
        <w:t xml:space="preserve"> (الحسبة والسياسة الجنائية في المملكة العربية السعودية) </w:t>
      </w:r>
      <w:r w:rsidRPr="00F1015F">
        <w:rPr>
          <w:rFonts w:asciiTheme="majorBidi" w:hAnsiTheme="majorBidi" w:cstheme="majorBidi"/>
          <w:b/>
          <w:bCs/>
          <w:sz w:val="18"/>
          <w:szCs w:val="18"/>
          <w:rtl/>
          <w:lang w:bidi="ar-EG"/>
        </w:rPr>
        <w:t>، الرياض، مكتبة الرشد، 2002م.</w:t>
      </w:r>
    </w:p>
    <w:p w:rsidR="00F1015F" w:rsidRPr="00F1015F" w:rsidRDefault="00F1015F" w:rsidP="00F1015F">
      <w:pPr>
        <w:numPr>
          <w:ilvl w:val="0"/>
          <w:numId w:val="3"/>
        </w:numPr>
        <w:spacing w:after="120" w:line="240" w:lineRule="auto"/>
        <w:jc w:val="lowKashida"/>
        <w:rPr>
          <w:rFonts w:asciiTheme="majorBidi" w:hAnsiTheme="majorBidi" w:cstheme="majorBidi"/>
          <w:b/>
          <w:bCs/>
          <w:sz w:val="18"/>
          <w:szCs w:val="18"/>
          <w:rtl/>
        </w:rPr>
      </w:pPr>
      <w:r w:rsidRPr="00F1015F">
        <w:rPr>
          <w:rFonts w:asciiTheme="majorBidi" w:hAnsiTheme="majorBidi" w:cstheme="majorBidi"/>
          <w:b/>
          <w:bCs/>
          <w:sz w:val="18"/>
          <w:szCs w:val="18"/>
          <w:rtl/>
          <w:lang w:bidi="ar-EG"/>
        </w:rPr>
        <w:t xml:space="preserve">الزحيلي، وهبة الزحيلي،  </w:t>
      </w:r>
      <w:r w:rsidRPr="00F1015F">
        <w:rPr>
          <w:rFonts w:asciiTheme="majorBidi" w:hAnsiTheme="majorBidi" w:cstheme="majorBidi"/>
          <w:b/>
          <w:bCs/>
          <w:sz w:val="18"/>
          <w:szCs w:val="18"/>
          <w:rtl/>
        </w:rPr>
        <w:t xml:space="preserve">(الفقه الإسلامي وأدلته) </w:t>
      </w:r>
      <w:r w:rsidRPr="00F1015F">
        <w:rPr>
          <w:rFonts w:asciiTheme="majorBidi" w:hAnsiTheme="majorBidi" w:cstheme="majorBidi"/>
          <w:b/>
          <w:bCs/>
          <w:sz w:val="18"/>
          <w:szCs w:val="18"/>
          <w:rtl/>
          <w:lang w:bidi="ar-EG"/>
        </w:rPr>
        <w:t>، دار الفكر، 1989م.</w:t>
      </w:r>
    </w:p>
    <w:p w:rsidR="00F1015F" w:rsidRPr="00F1015F" w:rsidRDefault="00F1015F" w:rsidP="00F1015F">
      <w:pPr>
        <w:numPr>
          <w:ilvl w:val="0"/>
          <w:numId w:val="3"/>
        </w:numPr>
        <w:spacing w:after="120" w:line="240" w:lineRule="auto"/>
        <w:jc w:val="lowKashida"/>
        <w:rPr>
          <w:rFonts w:asciiTheme="majorBidi" w:hAnsiTheme="majorBidi" w:cstheme="majorBidi"/>
          <w:b/>
          <w:bCs/>
          <w:sz w:val="18"/>
          <w:szCs w:val="18"/>
          <w:rtl/>
        </w:rPr>
      </w:pPr>
      <w:r w:rsidRPr="00F1015F">
        <w:rPr>
          <w:rFonts w:asciiTheme="majorBidi" w:hAnsiTheme="majorBidi" w:cstheme="majorBidi"/>
          <w:b/>
          <w:bCs/>
          <w:sz w:val="18"/>
          <w:szCs w:val="18"/>
          <w:rtl/>
          <w:lang w:bidi="ar-EG"/>
        </w:rPr>
        <w:t xml:space="preserve">مصطفى الزحيلي، محمد مصطفى الزحيلي،  </w:t>
      </w:r>
      <w:r w:rsidRPr="00F1015F">
        <w:rPr>
          <w:rFonts w:asciiTheme="majorBidi" w:hAnsiTheme="majorBidi" w:cstheme="majorBidi"/>
          <w:b/>
          <w:bCs/>
          <w:sz w:val="18"/>
          <w:szCs w:val="18"/>
          <w:rtl/>
        </w:rPr>
        <w:t xml:space="preserve">(التنظيم القضائي في الفقه الإسلامي) </w:t>
      </w:r>
      <w:r w:rsidRPr="00F1015F">
        <w:rPr>
          <w:rFonts w:asciiTheme="majorBidi" w:hAnsiTheme="majorBidi" w:cstheme="majorBidi"/>
          <w:b/>
          <w:bCs/>
          <w:sz w:val="18"/>
          <w:szCs w:val="18"/>
          <w:rtl/>
          <w:lang w:bidi="ar-EG"/>
        </w:rPr>
        <w:t>، دار الفكر، 1982م.</w:t>
      </w:r>
    </w:p>
    <w:p w:rsidR="00F1015F" w:rsidRPr="00F1015F" w:rsidRDefault="00F1015F" w:rsidP="00F1015F">
      <w:pPr>
        <w:numPr>
          <w:ilvl w:val="0"/>
          <w:numId w:val="3"/>
        </w:numPr>
        <w:spacing w:after="120" w:line="240" w:lineRule="auto"/>
        <w:jc w:val="lowKashida"/>
        <w:rPr>
          <w:rFonts w:asciiTheme="majorBidi" w:hAnsiTheme="majorBidi" w:cstheme="majorBidi"/>
          <w:b/>
          <w:bCs/>
          <w:sz w:val="18"/>
          <w:szCs w:val="18"/>
          <w:rtl/>
        </w:rPr>
      </w:pPr>
      <w:r w:rsidRPr="00F1015F">
        <w:rPr>
          <w:rFonts w:asciiTheme="majorBidi" w:hAnsiTheme="majorBidi" w:cstheme="majorBidi"/>
          <w:b/>
          <w:bCs/>
          <w:sz w:val="18"/>
          <w:szCs w:val="18"/>
          <w:rtl/>
          <w:lang w:bidi="ar-EG"/>
        </w:rPr>
        <w:t xml:space="preserve">الطريفي، ناصر بن عقيل الطريفي،  </w:t>
      </w:r>
      <w:r w:rsidRPr="00F1015F">
        <w:rPr>
          <w:rFonts w:asciiTheme="majorBidi" w:hAnsiTheme="majorBidi" w:cstheme="majorBidi"/>
          <w:b/>
          <w:bCs/>
          <w:sz w:val="18"/>
          <w:szCs w:val="18"/>
          <w:rtl/>
        </w:rPr>
        <w:t xml:space="preserve">(القضاء في عهد عمر بن الخطاب) </w:t>
      </w:r>
      <w:r w:rsidRPr="00F1015F">
        <w:rPr>
          <w:rFonts w:asciiTheme="majorBidi" w:hAnsiTheme="majorBidi" w:cstheme="majorBidi"/>
          <w:b/>
          <w:bCs/>
          <w:sz w:val="18"/>
          <w:szCs w:val="18"/>
          <w:rtl/>
          <w:lang w:bidi="ar-EG"/>
        </w:rPr>
        <w:t>، الرياض، نشر مكتبة التوبة، 1994م.</w:t>
      </w:r>
    </w:p>
    <w:p w:rsidR="00F1015F" w:rsidRPr="00F1015F" w:rsidRDefault="00F1015F" w:rsidP="00F1015F">
      <w:pPr>
        <w:numPr>
          <w:ilvl w:val="0"/>
          <w:numId w:val="3"/>
        </w:numPr>
        <w:spacing w:after="120" w:line="240" w:lineRule="auto"/>
        <w:jc w:val="lowKashida"/>
        <w:rPr>
          <w:rFonts w:asciiTheme="majorBidi" w:hAnsiTheme="majorBidi" w:cstheme="majorBidi"/>
          <w:b/>
          <w:bCs/>
          <w:sz w:val="18"/>
          <w:szCs w:val="18"/>
          <w:rtl/>
        </w:rPr>
      </w:pPr>
      <w:r w:rsidRPr="00F1015F">
        <w:rPr>
          <w:rFonts w:asciiTheme="majorBidi" w:hAnsiTheme="majorBidi" w:cstheme="majorBidi"/>
          <w:b/>
          <w:bCs/>
          <w:sz w:val="18"/>
          <w:szCs w:val="18"/>
          <w:rtl/>
          <w:lang w:bidi="ar-EG"/>
        </w:rPr>
        <w:t xml:space="preserve">الحميضي، عبد الرحمن عبد العزيز الحميضي،  </w:t>
      </w:r>
      <w:r w:rsidRPr="00F1015F">
        <w:rPr>
          <w:rFonts w:asciiTheme="majorBidi" w:hAnsiTheme="majorBidi" w:cstheme="majorBidi"/>
          <w:b/>
          <w:bCs/>
          <w:sz w:val="18"/>
          <w:szCs w:val="18"/>
          <w:rtl/>
        </w:rPr>
        <w:t xml:space="preserve">(القضاء ونظامه في الكتاب والسنة) </w:t>
      </w:r>
      <w:r w:rsidRPr="00F1015F">
        <w:rPr>
          <w:rFonts w:asciiTheme="majorBidi" w:hAnsiTheme="majorBidi" w:cstheme="majorBidi"/>
          <w:b/>
          <w:bCs/>
          <w:sz w:val="18"/>
          <w:szCs w:val="18"/>
          <w:rtl/>
          <w:lang w:bidi="ar-EG"/>
        </w:rPr>
        <w:t>، جامعة أم القرى، 1989م.</w:t>
      </w:r>
    </w:p>
    <w:p w:rsidR="00F1015F" w:rsidRPr="00F1015F" w:rsidRDefault="00F1015F" w:rsidP="00F1015F">
      <w:pPr>
        <w:numPr>
          <w:ilvl w:val="0"/>
          <w:numId w:val="3"/>
        </w:numPr>
        <w:spacing w:after="120" w:line="240" w:lineRule="auto"/>
        <w:jc w:val="lowKashida"/>
        <w:rPr>
          <w:rFonts w:asciiTheme="majorBidi" w:hAnsiTheme="majorBidi" w:cstheme="majorBidi"/>
          <w:b/>
          <w:bCs/>
          <w:sz w:val="18"/>
          <w:szCs w:val="18"/>
          <w:rtl/>
          <w:lang w:bidi="ar-EG"/>
        </w:rPr>
      </w:pPr>
      <w:r w:rsidRPr="00F1015F">
        <w:rPr>
          <w:rFonts w:asciiTheme="majorBidi" w:hAnsiTheme="majorBidi" w:cstheme="majorBidi"/>
          <w:b/>
          <w:bCs/>
          <w:sz w:val="18"/>
          <w:szCs w:val="18"/>
          <w:rtl/>
          <w:lang w:bidi="ar-EG"/>
        </w:rPr>
        <w:t xml:space="preserve">الكويتية، وزارة الأوقاف الكويتية،  </w:t>
      </w:r>
      <w:r w:rsidRPr="00F1015F">
        <w:rPr>
          <w:rFonts w:asciiTheme="majorBidi" w:hAnsiTheme="majorBidi" w:cstheme="majorBidi"/>
          <w:b/>
          <w:bCs/>
          <w:sz w:val="18"/>
          <w:szCs w:val="18"/>
          <w:rtl/>
        </w:rPr>
        <w:t xml:space="preserve">(الموسوعة الفقهية </w:t>
      </w:r>
      <w:proofErr w:type="gramStart"/>
      <w:r w:rsidRPr="00F1015F">
        <w:rPr>
          <w:rFonts w:asciiTheme="majorBidi" w:hAnsiTheme="majorBidi" w:cstheme="majorBidi"/>
          <w:b/>
          <w:bCs/>
          <w:sz w:val="18"/>
          <w:szCs w:val="18"/>
          <w:rtl/>
        </w:rPr>
        <w:t xml:space="preserve">الكويتية) </w:t>
      </w:r>
      <w:r w:rsidRPr="00F1015F">
        <w:rPr>
          <w:rFonts w:asciiTheme="majorBidi" w:hAnsiTheme="majorBidi" w:cstheme="majorBidi"/>
          <w:b/>
          <w:bCs/>
          <w:sz w:val="18"/>
          <w:szCs w:val="18"/>
          <w:rtl/>
          <w:lang w:bidi="ar-EG"/>
        </w:rPr>
        <w:t>،</w:t>
      </w:r>
      <w:proofErr w:type="gramEnd"/>
      <w:r w:rsidRPr="00F1015F">
        <w:rPr>
          <w:rFonts w:asciiTheme="majorBidi" w:hAnsiTheme="majorBidi" w:cstheme="majorBidi"/>
          <w:b/>
          <w:bCs/>
          <w:sz w:val="18"/>
          <w:szCs w:val="18"/>
          <w:rtl/>
          <w:lang w:bidi="ar-EG"/>
        </w:rPr>
        <w:t xml:space="preserve"> الكويت، طبعة ذات السلاسل، 1995م </w:t>
      </w:r>
    </w:p>
    <w:p w:rsidR="00F1015F" w:rsidRPr="00F1015F" w:rsidRDefault="00F1015F" w:rsidP="00F1015F">
      <w:pPr>
        <w:numPr>
          <w:ilvl w:val="0"/>
          <w:numId w:val="3"/>
        </w:numPr>
        <w:spacing w:after="120" w:line="240" w:lineRule="auto"/>
        <w:jc w:val="lowKashida"/>
        <w:rPr>
          <w:rFonts w:asciiTheme="majorBidi" w:hAnsiTheme="majorBidi" w:cstheme="majorBidi"/>
          <w:b/>
          <w:bCs/>
          <w:sz w:val="18"/>
          <w:szCs w:val="18"/>
          <w:rtl/>
        </w:rPr>
      </w:pPr>
      <w:r w:rsidRPr="00F1015F">
        <w:rPr>
          <w:rFonts w:asciiTheme="majorBidi" w:hAnsiTheme="majorBidi" w:cstheme="majorBidi"/>
          <w:b/>
          <w:bCs/>
          <w:sz w:val="18"/>
          <w:szCs w:val="18"/>
          <w:rtl/>
          <w:lang w:bidi="ar-EG"/>
        </w:rPr>
        <w:t xml:space="preserve">مليجي، أحمد محمد مليجي،  </w:t>
      </w:r>
      <w:r w:rsidRPr="00F1015F">
        <w:rPr>
          <w:rFonts w:asciiTheme="majorBidi" w:hAnsiTheme="majorBidi" w:cstheme="majorBidi"/>
          <w:b/>
          <w:bCs/>
          <w:sz w:val="18"/>
          <w:szCs w:val="18"/>
          <w:rtl/>
        </w:rPr>
        <w:t>(النظام القضائي الإسلامي)</w:t>
      </w:r>
      <w:r w:rsidRPr="00F1015F">
        <w:rPr>
          <w:rFonts w:asciiTheme="majorBidi" w:hAnsiTheme="majorBidi" w:cstheme="majorBidi"/>
          <w:b/>
          <w:bCs/>
          <w:sz w:val="18"/>
          <w:szCs w:val="18"/>
          <w:rtl/>
          <w:lang w:bidi="ar-EG"/>
        </w:rPr>
        <w:t>، القاهرة، مكتبة وهبة، 1984م.</w:t>
      </w:r>
    </w:p>
    <w:p w:rsidR="00F1015F" w:rsidRPr="00F1015F" w:rsidRDefault="00F1015F" w:rsidP="00F1015F">
      <w:pPr>
        <w:numPr>
          <w:ilvl w:val="0"/>
          <w:numId w:val="3"/>
        </w:numPr>
        <w:spacing w:after="120" w:line="240" w:lineRule="auto"/>
        <w:jc w:val="lowKashida"/>
        <w:rPr>
          <w:rFonts w:asciiTheme="majorBidi" w:hAnsiTheme="majorBidi" w:cstheme="majorBidi"/>
          <w:b/>
          <w:bCs/>
          <w:sz w:val="18"/>
          <w:szCs w:val="18"/>
          <w:rtl/>
        </w:rPr>
      </w:pPr>
      <w:r w:rsidRPr="00F1015F">
        <w:rPr>
          <w:rFonts w:asciiTheme="majorBidi" w:hAnsiTheme="majorBidi" w:cstheme="majorBidi"/>
          <w:b/>
          <w:bCs/>
          <w:sz w:val="18"/>
          <w:szCs w:val="18"/>
          <w:rtl/>
          <w:lang w:bidi="ar-EG"/>
        </w:rPr>
        <w:t xml:space="preserve">الماوردي، علي بن محمد الماوردي،  </w:t>
      </w:r>
      <w:r w:rsidRPr="00F1015F">
        <w:rPr>
          <w:rFonts w:asciiTheme="majorBidi" w:hAnsiTheme="majorBidi" w:cstheme="majorBidi"/>
          <w:b/>
          <w:bCs/>
          <w:sz w:val="18"/>
          <w:szCs w:val="18"/>
          <w:rtl/>
        </w:rPr>
        <w:t xml:space="preserve">(الأحكام السلطانية والولايات الدينية) </w:t>
      </w:r>
      <w:r w:rsidRPr="00F1015F">
        <w:rPr>
          <w:rFonts w:asciiTheme="majorBidi" w:hAnsiTheme="majorBidi" w:cstheme="majorBidi"/>
          <w:b/>
          <w:bCs/>
          <w:sz w:val="18"/>
          <w:szCs w:val="18"/>
          <w:rtl/>
          <w:lang w:bidi="ar-EG"/>
        </w:rPr>
        <w:t>عالم الكتب، 2007م.</w:t>
      </w:r>
    </w:p>
    <w:p w:rsidR="00F1015F" w:rsidRPr="00F1015F" w:rsidRDefault="00F1015F" w:rsidP="00F1015F">
      <w:pPr>
        <w:numPr>
          <w:ilvl w:val="0"/>
          <w:numId w:val="3"/>
        </w:numPr>
        <w:spacing w:after="120" w:line="240" w:lineRule="auto"/>
        <w:jc w:val="lowKashida"/>
        <w:rPr>
          <w:rFonts w:asciiTheme="majorBidi" w:hAnsiTheme="majorBidi" w:cstheme="majorBidi"/>
          <w:b/>
          <w:bCs/>
          <w:sz w:val="18"/>
          <w:szCs w:val="18"/>
          <w:rtl/>
        </w:rPr>
      </w:pPr>
      <w:r w:rsidRPr="00F1015F">
        <w:rPr>
          <w:rFonts w:asciiTheme="majorBidi" w:hAnsiTheme="majorBidi" w:cstheme="majorBidi"/>
          <w:b/>
          <w:bCs/>
          <w:sz w:val="18"/>
          <w:szCs w:val="18"/>
          <w:rtl/>
          <w:lang w:bidi="ar-EG"/>
        </w:rPr>
        <w:t xml:space="preserve">أبو العنين، عبد الفتاح أبو العنين،  </w:t>
      </w:r>
      <w:r w:rsidRPr="00F1015F">
        <w:rPr>
          <w:rFonts w:asciiTheme="majorBidi" w:hAnsiTheme="majorBidi" w:cstheme="majorBidi"/>
          <w:b/>
          <w:bCs/>
          <w:sz w:val="18"/>
          <w:szCs w:val="18"/>
          <w:rtl/>
        </w:rPr>
        <w:t xml:space="preserve">(القضاء والإثبات في الفقه </w:t>
      </w:r>
      <w:proofErr w:type="gramStart"/>
      <w:r w:rsidRPr="00F1015F">
        <w:rPr>
          <w:rFonts w:asciiTheme="majorBidi" w:hAnsiTheme="majorBidi" w:cstheme="majorBidi"/>
          <w:b/>
          <w:bCs/>
          <w:sz w:val="18"/>
          <w:szCs w:val="18"/>
          <w:rtl/>
        </w:rPr>
        <w:t xml:space="preserve">الإسلامي) </w:t>
      </w:r>
      <w:r w:rsidRPr="00F1015F">
        <w:rPr>
          <w:rFonts w:asciiTheme="majorBidi" w:hAnsiTheme="majorBidi" w:cstheme="majorBidi"/>
          <w:b/>
          <w:bCs/>
          <w:sz w:val="18"/>
          <w:szCs w:val="18"/>
          <w:rtl/>
          <w:lang w:bidi="ar-EG"/>
        </w:rPr>
        <w:t>،</w:t>
      </w:r>
      <w:proofErr w:type="gramEnd"/>
      <w:r w:rsidRPr="00F1015F">
        <w:rPr>
          <w:rFonts w:asciiTheme="majorBidi" w:hAnsiTheme="majorBidi" w:cstheme="majorBidi"/>
          <w:b/>
          <w:bCs/>
          <w:sz w:val="18"/>
          <w:szCs w:val="18"/>
          <w:rtl/>
          <w:lang w:bidi="ar-EG"/>
        </w:rPr>
        <w:t>مطبعة الأمانة، 1983م.</w:t>
      </w:r>
    </w:p>
    <w:p w:rsidR="00F1015F" w:rsidRPr="00F1015F" w:rsidRDefault="00F1015F" w:rsidP="00F1015F">
      <w:pPr>
        <w:numPr>
          <w:ilvl w:val="0"/>
          <w:numId w:val="3"/>
        </w:numPr>
        <w:spacing w:after="120" w:line="240" w:lineRule="auto"/>
        <w:jc w:val="lowKashida"/>
        <w:rPr>
          <w:rFonts w:asciiTheme="majorBidi" w:hAnsiTheme="majorBidi" w:cstheme="majorBidi"/>
          <w:b/>
          <w:bCs/>
          <w:sz w:val="18"/>
          <w:szCs w:val="18"/>
        </w:rPr>
      </w:pPr>
      <w:r w:rsidRPr="00F1015F">
        <w:rPr>
          <w:rFonts w:asciiTheme="majorBidi" w:hAnsiTheme="majorBidi" w:cstheme="majorBidi"/>
          <w:b/>
          <w:bCs/>
          <w:sz w:val="18"/>
          <w:szCs w:val="18"/>
          <w:rtl/>
          <w:lang w:bidi="ar-EG"/>
        </w:rPr>
        <w:t xml:space="preserve">إبراهيم، محمود علي أحمد إبراهيم،  </w:t>
      </w:r>
      <w:r w:rsidRPr="00F1015F">
        <w:rPr>
          <w:rFonts w:asciiTheme="majorBidi" w:hAnsiTheme="majorBidi" w:cstheme="majorBidi"/>
          <w:b/>
          <w:bCs/>
          <w:sz w:val="18"/>
          <w:szCs w:val="18"/>
          <w:rtl/>
        </w:rPr>
        <w:t xml:space="preserve">(الحجج القضائية في الشريعة </w:t>
      </w:r>
      <w:proofErr w:type="gramStart"/>
      <w:r w:rsidRPr="00F1015F">
        <w:rPr>
          <w:rFonts w:asciiTheme="majorBidi" w:hAnsiTheme="majorBidi" w:cstheme="majorBidi"/>
          <w:b/>
          <w:bCs/>
          <w:sz w:val="18"/>
          <w:szCs w:val="18"/>
          <w:rtl/>
        </w:rPr>
        <w:t>الإسلامية) ،</w:t>
      </w:r>
      <w:proofErr w:type="gramEnd"/>
      <w:r w:rsidRPr="00F1015F">
        <w:rPr>
          <w:rFonts w:asciiTheme="majorBidi" w:hAnsiTheme="majorBidi" w:cstheme="majorBidi"/>
          <w:b/>
          <w:bCs/>
          <w:sz w:val="18"/>
          <w:szCs w:val="18"/>
          <w:rtl/>
          <w:lang w:bidi="ar-EG"/>
        </w:rPr>
        <w:t>دار الهدى، 1983م.</w:t>
      </w:r>
    </w:p>
    <w:p w:rsidR="00F1015F" w:rsidRDefault="00F1015F" w:rsidP="00F1015F">
      <w:pPr>
        <w:pStyle w:val="a3"/>
        <w:bidi/>
        <w:spacing w:before="0" w:beforeAutospacing="0" w:after="120" w:afterAutospacing="0" w:line="500" w:lineRule="exact"/>
        <w:jc w:val="lowKashida"/>
        <w:rPr>
          <w:rFonts w:asciiTheme="majorBidi" w:hAnsiTheme="majorBidi" w:cstheme="majorBidi"/>
          <w:sz w:val="32"/>
          <w:szCs w:val="32"/>
          <w:rtl/>
        </w:rPr>
        <w:sectPr w:rsidR="00F1015F" w:rsidSect="00F1015F">
          <w:type w:val="continuous"/>
          <w:pgSz w:w="11906" w:h="16838"/>
          <w:pgMar w:top="964" w:right="1021" w:bottom="964" w:left="1021" w:header="709" w:footer="709" w:gutter="0"/>
          <w:cols w:num="2" w:space="708"/>
          <w:bidi/>
          <w:rtlGutter/>
          <w:docGrid w:linePitch="360"/>
        </w:sectPr>
      </w:pPr>
    </w:p>
    <w:p w:rsidR="00F1015F" w:rsidRPr="00F1015F" w:rsidRDefault="00F1015F" w:rsidP="00F1015F">
      <w:pPr>
        <w:pStyle w:val="a3"/>
        <w:bidi/>
        <w:spacing w:before="0" w:beforeAutospacing="0" w:after="120" w:afterAutospacing="0" w:line="500" w:lineRule="exact"/>
        <w:jc w:val="lowKashida"/>
        <w:rPr>
          <w:rFonts w:asciiTheme="majorBidi" w:hAnsiTheme="majorBidi" w:cstheme="majorBidi"/>
          <w:sz w:val="32"/>
          <w:szCs w:val="32"/>
          <w:rtl/>
        </w:rPr>
      </w:pPr>
    </w:p>
    <w:p w:rsidR="00F1015F" w:rsidRPr="00C048F2" w:rsidRDefault="00F1015F" w:rsidP="00F1015F">
      <w:pPr>
        <w:spacing w:after="120" w:line="520" w:lineRule="exact"/>
        <w:jc w:val="lowKashida"/>
        <w:rPr>
          <w:rFonts w:asciiTheme="majorBidi" w:hAnsiTheme="majorBidi" w:cstheme="majorBidi"/>
          <w:sz w:val="32"/>
          <w:szCs w:val="32"/>
          <w:rtl/>
        </w:rPr>
      </w:pPr>
    </w:p>
    <w:p w:rsidR="00F1015F" w:rsidRPr="00C048F2" w:rsidRDefault="00F1015F" w:rsidP="00F1015F">
      <w:pPr>
        <w:spacing w:after="120" w:line="520" w:lineRule="exact"/>
        <w:jc w:val="lowKashida"/>
        <w:rPr>
          <w:rFonts w:asciiTheme="majorBidi" w:hAnsiTheme="majorBidi" w:cstheme="majorBidi"/>
          <w:sz w:val="32"/>
          <w:szCs w:val="32"/>
          <w:rtl/>
        </w:rPr>
      </w:pPr>
    </w:p>
    <w:p w:rsidR="00F1015F" w:rsidRPr="00F1015F" w:rsidRDefault="00F1015F" w:rsidP="00F1015F">
      <w:pPr>
        <w:rPr>
          <w:i/>
          <w:iCs/>
          <w:lang w:bidi="ar-EG"/>
        </w:rPr>
      </w:pPr>
    </w:p>
    <w:sectPr w:rsidR="00F1015F" w:rsidRPr="00F1015F" w:rsidSect="00F1015F">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GA Rasheeq Bold">
    <w:charset w:val="B2"/>
    <w:family w:val="auto"/>
    <w:pitch w:val="variable"/>
    <w:sig w:usb0="00002001" w:usb1="00000000" w:usb2="00000000" w:usb3="00000000" w:csb0="00000040" w:csb1="00000000"/>
  </w:font>
  <w:font w:name="SC_ALYERMOOK">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F1C1A"/>
    <w:multiLevelType w:val="hybridMultilevel"/>
    <w:tmpl w:val="090A3EE4"/>
    <w:lvl w:ilvl="0" w:tplc="0C187336">
      <w:start w:val="1"/>
      <w:numFmt w:val="decimal"/>
      <w:lvlText w:val="%1."/>
      <w:lvlJc w:val="left"/>
      <w:pPr>
        <w:tabs>
          <w:tab w:val="num" w:pos="720"/>
        </w:tabs>
        <w:ind w:left="720" w:hanging="360"/>
      </w:pPr>
      <w:rPr>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6F0FE0"/>
    <w:multiLevelType w:val="hybridMultilevel"/>
    <w:tmpl w:val="864C9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69232C5"/>
    <w:multiLevelType w:val="hybridMultilevel"/>
    <w:tmpl w:val="28DCF02E"/>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F1015F"/>
    <w:rsid w:val="00170D5C"/>
    <w:rsid w:val="0019140C"/>
    <w:rsid w:val="003F7628"/>
    <w:rsid w:val="00514443"/>
    <w:rsid w:val="006D1974"/>
    <w:rsid w:val="009556CB"/>
    <w:rsid w:val="00BF7572"/>
    <w:rsid w:val="00D04B36"/>
    <w:rsid w:val="00F1015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F1015F"/>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F1015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1015F"/>
    <w:pPr>
      <w:spacing w:after="0" w:line="240" w:lineRule="auto"/>
      <w:ind w:left="720"/>
      <w:contextualSpacing/>
    </w:pPr>
    <w:rPr>
      <w:rFonts w:ascii="Times New Roman" w:eastAsia="Times New Roman" w:hAnsi="Times New Roman" w:cs="Times New Roman"/>
      <w:sz w:val="24"/>
      <w:szCs w:val="24"/>
    </w:rPr>
  </w:style>
  <w:style w:type="table" w:styleId="a5">
    <w:name w:val="Table Grid"/>
    <w:basedOn w:val="a1"/>
    <w:rsid w:val="00F1015F"/>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7166696">
      <w:bodyDiv w:val="1"/>
      <w:marLeft w:val="0"/>
      <w:marRight w:val="0"/>
      <w:marTop w:val="0"/>
      <w:marBottom w:val="0"/>
      <w:divBdr>
        <w:top w:val="none" w:sz="0" w:space="0" w:color="auto"/>
        <w:left w:val="none" w:sz="0" w:space="0" w:color="auto"/>
        <w:bottom w:val="none" w:sz="0" w:space="0" w:color="auto"/>
        <w:right w:val="none" w:sz="0" w:space="0" w:color="auto"/>
      </w:divBdr>
    </w:div>
    <w:div w:id="1276250008">
      <w:bodyDiv w:val="1"/>
      <w:marLeft w:val="0"/>
      <w:marRight w:val="0"/>
      <w:marTop w:val="0"/>
      <w:marBottom w:val="0"/>
      <w:divBdr>
        <w:top w:val="none" w:sz="0" w:space="0" w:color="auto"/>
        <w:left w:val="none" w:sz="0" w:space="0" w:color="auto"/>
        <w:bottom w:val="none" w:sz="0" w:space="0" w:color="auto"/>
        <w:right w:val="none" w:sz="0" w:space="0" w:color="auto"/>
      </w:divBdr>
    </w:div>
    <w:div w:id="172556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1476</Words>
  <Characters>8414</Characters>
  <Application>Microsoft Office Word</Application>
  <DocSecurity>0</DocSecurity>
  <Lines>70</Lines>
  <Paragraphs>19</Paragraphs>
  <ScaleCrop>false</ScaleCrop>
  <Company/>
  <LinksUpToDate>false</LinksUpToDate>
  <CharactersWithSpaces>9871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hala</cp:lastModifiedBy>
  <cp:revision>5</cp:revision>
  <dcterms:created xsi:type="dcterms:W3CDTF">2013-06-15T10:45:00Z</dcterms:created>
  <dcterms:modified xsi:type="dcterms:W3CDTF">2013-06-15T21:54:00Z</dcterms:modified>
</cp:coreProperties>
</file>